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D6" w:rsidRPr="009360D6" w:rsidRDefault="009360D6" w:rsidP="009360D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9360D6">
        <w:rPr>
          <w:rFonts w:ascii="Times New Roman" w:hAnsi="Times New Roman" w:cs="Times New Roman"/>
          <w:sz w:val="28"/>
          <w:szCs w:val="28"/>
        </w:rPr>
        <w:t>Проект</w:t>
      </w:r>
    </w:p>
    <w:p w:rsidR="009360D6" w:rsidRDefault="009360D6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МЕСТНЫЕ НОРМАТИВЫ</w:t>
      </w:r>
    </w:p>
    <w:p w:rsidR="00CC0542" w:rsidRPr="0071555B" w:rsidRDefault="00CC0542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ГРАДОСТРОИТЕЛЬНОГО ПРОЕКТИРОВАНИЯ </w:t>
      </w:r>
      <w:r w:rsidR="00344EA0">
        <w:rPr>
          <w:rFonts w:ascii="Times New Roman" w:hAnsi="Times New Roman" w:cs="Times New Roman"/>
          <w:szCs w:val="22"/>
        </w:rPr>
        <w:t xml:space="preserve"> сельского поселения Печинено </w:t>
      </w:r>
      <w:r w:rsidRPr="0071555B">
        <w:rPr>
          <w:rFonts w:ascii="Times New Roman" w:hAnsi="Times New Roman" w:cs="Times New Roman"/>
          <w:szCs w:val="22"/>
        </w:rPr>
        <w:t xml:space="preserve">МУНЦИПАЛЬНОГО РАЙОНА </w:t>
      </w:r>
    </w:p>
    <w:p w:rsidR="00CC0542" w:rsidRPr="0071555B" w:rsidRDefault="0071555B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БОГАТОВСКИЙ</w:t>
      </w:r>
      <w:r w:rsidR="00CC0542" w:rsidRPr="0071555B">
        <w:rPr>
          <w:rFonts w:ascii="Times New Roman" w:hAnsi="Times New Roman" w:cs="Times New Roman"/>
          <w:szCs w:val="22"/>
        </w:rPr>
        <w:t xml:space="preserve"> САМАРСКОЙ ОБЛАСТИ</w:t>
      </w: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1. Общие положения</w:t>
      </w: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1.1. Настоящие местные нормативы градостроительного проектирования </w:t>
      </w:r>
      <w:r w:rsidR="00344EA0">
        <w:rPr>
          <w:rFonts w:ascii="Times New Roman" w:hAnsi="Times New Roman" w:cs="Times New Roman"/>
          <w:szCs w:val="22"/>
        </w:rPr>
        <w:t xml:space="preserve"> сельского поселения Печинено </w:t>
      </w:r>
      <w:r w:rsidRPr="0071555B">
        <w:rPr>
          <w:rFonts w:ascii="Times New Roman" w:hAnsi="Times New Roman" w:cs="Times New Roman"/>
          <w:szCs w:val="22"/>
        </w:rPr>
        <w:t xml:space="preserve">муниципального района </w:t>
      </w:r>
      <w:r w:rsidR="0071555B" w:rsidRPr="0071555B">
        <w:rPr>
          <w:rFonts w:ascii="Times New Roman" w:hAnsi="Times New Roman" w:cs="Times New Roman"/>
          <w:szCs w:val="22"/>
        </w:rPr>
        <w:t>Богатовский</w:t>
      </w:r>
      <w:r w:rsidRPr="0071555B">
        <w:rPr>
          <w:rFonts w:ascii="Times New Roman" w:hAnsi="Times New Roman" w:cs="Times New Roman"/>
          <w:szCs w:val="22"/>
        </w:rPr>
        <w:t xml:space="preserve"> Самарской области (далее - местные нормативы) разработаны в соответствии с положениями статей 29.1, 29.2, 29.4 Градостроительного кодекса Российской Федерации и устанавливают:</w:t>
      </w:r>
    </w:p>
    <w:p w:rsidR="00CC0542" w:rsidRPr="0071555B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71555B">
        <w:rPr>
          <w:rFonts w:ascii="Times New Roman" w:hAnsi="Times New Roman" w:cs="Times New Roman"/>
          <w:szCs w:val="22"/>
        </w:rPr>
        <w:t>совокупность расчетных показателей минимально допустимого уровня обеспеченности объектами местного значения</w:t>
      </w:r>
      <w:r w:rsidR="00344EA0">
        <w:rPr>
          <w:rFonts w:ascii="Times New Roman" w:hAnsi="Times New Roman" w:cs="Times New Roman"/>
          <w:szCs w:val="22"/>
        </w:rPr>
        <w:t xml:space="preserve"> сельского поселения Печинено </w:t>
      </w:r>
      <w:r w:rsidRPr="0071555B">
        <w:rPr>
          <w:rFonts w:ascii="Times New Roman" w:hAnsi="Times New Roman" w:cs="Times New Roman"/>
          <w:szCs w:val="22"/>
        </w:rPr>
        <w:t xml:space="preserve"> муниципального района </w:t>
      </w:r>
      <w:r w:rsidR="0071555B" w:rsidRPr="0071555B">
        <w:rPr>
          <w:rFonts w:ascii="Times New Roman" w:hAnsi="Times New Roman" w:cs="Times New Roman"/>
          <w:szCs w:val="22"/>
        </w:rPr>
        <w:t>Богатовский</w:t>
      </w:r>
      <w:r w:rsidRPr="0071555B">
        <w:rPr>
          <w:rFonts w:ascii="Times New Roman" w:hAnsi="Times New Roman" w:cs="Times New Roman"/>
          <w:szCs w:val="22"/>
        </w:rPr>
        <w:t xml:space="preserve"> Самарской области,</w:t>
      </w:r>
      <w:r w:rsidR="0071555B"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 xml:space="preserve">относящимися к областям, указанным в </w:t>
      </w:r>
      <w:hyperlink r:id="rId5" w:history="1">
        <w:r w:rsidRPr="0071555B">
          <w:rPr>
            <w:rFonts w:ascii="Times New Roman" w:hAnsi="Times New Roman" w:cs="Times New Roman"/>
            <w:szCs w:val="22"/>
          </w:rPr>
          <w:t>пункте 1 части 3 статьи 19</w:t>
        </w:r>
      </w:hyperlink>
      <w:r w:rsidRPr="0071555B">
        <w:rPr>
          <w:rFonts w:ascii="Times New Roman" w:hAnsi="Times New Roman" w:cs="Times New Roman"/>
          <w:szCs w:val="22"/>
        </w:rPr>
        <w:t xml:space="preserve"> Градостроительного кодекса Российской Федерации, иными объектами местного значения </w:t>
      </w:r>
      <w:r w:rsidR="00344EA0">
        <w:rPr>
          <w:rFonts w:ascii="Times New Roman" w:hAnsi="Times New Roman" w:cs="Times New Roman"/>
          <w:szCs w:val="22"/>
        </w:rPr>
        <w:t xml:space="preserve"> сельского поселения Печинено </w:t>
      </w:r>
      <w:r w:rsidRPr="0071555B">
        <w:rPr>
          <w:rFonts w:ascii="Times New Roman" w:hAnsi="Times New Roman" w:cs="Times New Roman"/>
          <w:szCs w:val="22"/>
        </w:rPr>
        <w:t xml:space="preserve">муниципального района </w:t>
      </w:r>
      <w:r w:rsidR="0071555B" w:rsidRPr="0071555B">
        <w:rPr>
          <w:rFonts w:ascii="Times New Roman" w:hAnsi="Times New Roman" w:cs="Times New Roman"/>
          <w:szCs w:val="22"/>
        </w:rPr>
        <w:t>Богатовский</w:t>
      </w:r>
      <w:r w:rsidRPr="0071555B">
        <w:rPr>
          <w:rFonts w:ascii="Times New Roman" w:hAnsi="Times New Roman" w:cs="Times New Roman"/>
          <w:szCs w:val="22"/>
        </w:rPr>
        <w:t xml:space="preserve"> Самарской области населения </w:t>
      </w:r>
      <w:r w:rsidR="00344EA0">
        <w:rPr>
          <w:rFonts w:ascii="Times New Roman" w:hAnsi="Times New Roman" w:cs="Times New Roman"/>
          <w:szCs w:val="22"/>
        </w:rPr>
        <w:t xml:space="preserve"> сельского поселения Печинено </w:t>
      </w:r>
      <w:r w:rsidRPr="0071555B">
        <w:rPr>
          <w:rFonts w:ascii="Times New Roman" w:hAnsi="Times New Roman" w:cs="Times New Roman"/>
          <w:szCs w:val="22"/>
        </w:rPr>
        <w:t>муниципального района</w:t>
      </w:r>
      <w:r w:rsidR="0071555B">
        <w:rPr>
          <w:rFonts w:ascii="Times New Roman" w:hAnsi="Times New Roman" w:cs="Times New Roman"/>
          <w:szCs w:val="22"/>
        </w:rPr>
        <w:t xml:space="preserve"> </w:t>
      </w:r>
      <w:r w:rsidR="0071555B" w:rsidRPr="0071555B">
        <w:rPr>
          <w:rFonts w:ascii="Times New Roman" w:hAnsi="Times New Roman" w:cs="Times New Roman"/>
          <w:szCs w:val="22"/>
        </w:rPr>
        <w:t>Богатовский</w:t>
      </w:r>
      <w:r w:rsidRPr="0071555B">
        <w:rPr>
          <w:rFonts w:ascii="Times New Roman" w:hAnsi="Times New Roman" w:cs="Times New Roman"/>
          <w:szCs w:val="22"/>
        </w:rPr>
        <w:t xml:space="preserve"> Самарской области и расчетных показателей максимально допустимого уровня</w:t>
      </w:r>
      <w:proofErr w:type="gramEnd"/>
      <w:r w:rsidRPr="0071555B">
        <w:rPr>
          <w:rFonts w:ascii="Times New Roman" w:hAnsi="Times New Roman" w:cs="Times New Roman"/>
          <w:szCs w:val="22"/>
        </w:rPr>
        <w:t xml:space="preserve"> территориальной доступности таких объектов для населения</w:t>
      </w:r>
      <w:r w:rsidR="00344EA0">
        <w:rPr>
          <w:rFonts w:ascii="Times New Roman" w:hAnsi="Times New Roman" w:cs="Times New Roman"/>
          <w:szCs w:val="22"/>
        </w:rPr>
        <w:t xml:space="preserve"> сельского поселения Печинено </w:t>
      </w:r>
      <w:r w:rsidRPr="0071555B">
        <w:rPr>
          <w:rFonts w:ascii="Times New Roman" w:hAnsi="Times New Roman" w:cs="Times New Roman"/>
          <w:szCs w:val="22"/>
        </w:rPr>
        <w:t xml:space="preserve"> муниципального</w:t>
      </w:r>
      <w:r w:rsidR="0071555B"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 xml:space="preserve">района </w:t>
      </w:r>
      <w:r w:rsidR="0071555B" w:rsidRPr="0071555B">
        <w:rPr>
          <w:rFonts w:ascii="Times New Roman" w:hAnsi="Times New Roman" w:cs="Times New Roman"/>
          <w:szCs w:val="22"/>
        </w:rPr>
        <w:t>Богатовский</w:t>
      </w:r>
      <w:r w:rsidRPr="0071555B">
        <w:rPr>
          <w:rFonts w:ascii="Times New Roman" w:hAnsi="Times New Roman" w:cs="Times New Roman"/>
          <w:szCs w:val="22"/>
        </w:rPr>
        <w:t xml:space="preserve"> Самарской области (далее – расчетные показатели).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35"/>
      <w:bookmarkStart w:id="1" w:name="P36"/>
      <w:bookmarkEnd w:id="0"/>
      <w:bookmarkEnd w:id="1"/>
      <w:r w:rsidRPr="0071555B">
        <w:rPr>
          <w:rFonts w:ascii="Times New Roman" w:hAnsi="Times New Roman" w:cs="Times New Roman"/>
          <w:szCs w:val="22"/>
        </w:rPr>
        <w:t>1.2. Настоящие местные нормативы включают в себя: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основную часть (расчетные показатели, указанные в пункте 1.1настоящих местных нормативов);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материалы по обоснованию расчетных показателей, содержащихся в основной части местных нормативов;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правила и область применения расчетных показателей, содержащихся в основной части местных нормативов.</w:t>
      </w:r>
    </w:p>
    <w:p w:rsidR="00CC0542" w:rsidRPr="0071555B" w:rsidRDefault="00CC0542" w:rsidP="00CC0542">
      <w:pPr>
        <w:rPr>
          <w:rFonts w:ascii="Times New Roman" w:hAnsi="Times New Roman" w:cs="Times New Roman"/>
        </w:rPr>
      </w:pP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2. Расчетные показатели</w:t>
      </w: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3"/>
        <w:gridCol w:w="1304"/>
        <w:gridCol w:w="61"/>
        <w:gridCol w:w="1134"/>
        <w:gridCol w:w="52"/>
        <w:gridCol w:w="1786"/>
        <w:gridCol w:w="425"/>
        <w:gridCol w:w="642"/>
        <w:gridCol w:w="662"/>
        <w:gridCol w:w="2244"/>
        <w:gridCol w:w="24"/>
        <w:gridCol w:w="1677"/>
        <w:gridCol w:w="24"/>
        <w:gridCol w:w="1247"/>
        <w:gridCol w:w="101"/>
        <w:gridCol w:w="1373"/>
      </w:tblGrid>
      <w:tr w:rsidR="00CC0542" w:rsidRPr="0071555B" w:rsidTr="001A075B">
        <w:tc>
          <w:tcPr>
            <w:tcW w:w="824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304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Наименование вида объекта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местного значения</w:t>
            </w:r>
          </w:p>
        </w:tc>
        <w:tc>
          <w:tcPr>
            <w:tcW w:w="7030" w:type="dxa"/>
            <w:gridSpan w:val="9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Расчетные показатели минимально допустимого уровня обеспеченности</w:t>
            </w:r>
          </w:p>
        </w:tc>
        <w:tc>
          <w:tcPr>
            <w:tcW w:w="4422" w:type="dxa"/>
            <w:gridSpan w:val="5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Расчетные показатели максимально допустимого уровня территориальной доступности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значение показателя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вид доступности, единица измерения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значение показателя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Объекты в области образования</w:t>
            </w:r>
          </w:p>
        </w:tc>
      </w:tr>
      <w:tr w:rsidR="00CC0542" w:rsidRPr="0071555B" w:rsidTr="001A075B">
        <w:trPr>
          <w:trHeight w:val="1288"/>
        </w:trPr>
        <w:tc>
          <w:tcPr>
            <w:tcW w:w="824" w:type="dxa"/>
            <w:gridSpan w:val="2"/>
            <w:vMerge w:val="restart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Общеобразовательные организации</w:t>
            </w:r>
          </w:p>
        </w:tc>
        <w:tc>
          <w:tcPr>
            <w:tcW w:w="1247" w:type="dxa"/>
            <w:gridSpan w:val="3"/>
            <w:vMerge w:val="restart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учащихся на 1 тысячу человек</w:t>
            </w:r>
          </w:p>
        </w:tc>
        <w:tc>
          <w:tcPr>
            <w:tcW w:w="5783" w:type="dxa"/>
            <w:gridSpan w:val="6"/>
            <w:vMerge w:val="restart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110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сельских населенных пунктах: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для учащихся I ступени обучения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для учащихся II и III ступени обучения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2 000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4 000</w:t>
            </w:r>
          </w:p>
        </w:tc>
      </w:tr>
      <w:tr w:rsidR="00CC0542" w:rsidRPr="0071555B" w:rsidTr="001A075B">
        <w:trPr>
          <w:trHeight w:val="3059"/>
        </w:trPr>
        <w:tc>
          <w:tcPr>
            <w:tcW w:w="824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сельских населенных пунктах &lt;*&gt;: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для учащихся I ступени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обучения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 xml:space="preserve">для учащихся II и III ступени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обучения</w:t>
            </w:r>
          </w:p>
        </w:tc>
      </w:tr>
      <w:tr w:rsidR="00CC0542" w:rsidRPr="0071555B" w:rsidTr="001A075B">
        <w:tblPrEx>
          <w:tblBorders>
            <w:insideH w:val="nil"/>
          </w:tblBorders>
        </w:tblPrEx>
        <w:tc>
          <w:tcPr>
            <w:tcW w:w="824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74" w:type="dxa"/>
            <w:gridSpan w:val="2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30 &lt;**&gt;</w:t>
            </w:r>
          </w:p>
        </w:tc>
      </w:tr>
      <w:tr w:rsidR="00CC0542" w:rsidRPr="0071555B" w:rsidTr="001A075B">
        <w:tblPrEx>
          <w:tblBorders>
            <w:insideH w:val="nil"/>
          </w:tblBorders>
        </w:tblPrEx>
        <w:tc>
          <w:tcPr>
            <w:tcW w:w="13580" w:type="dxa"/>
            <w:gridSpan w:val="17"/>
            <w:tcBorders>
              <w:top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--------------------------------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Примечания: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&lt;*&gt;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1 км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 м.</w:t>
            </w:r>
          </w:p>
          <w:p w:rsidR="00CC0542" w:rsidRPr="0071555B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&lt;**&gt; Транспортная доступность учащихся II и III ступени обучения не должна превышать 15 км.</w:t>
            </w:r>
          </w:p>
        </w:tc>
      </w:tr>
      <w:tr w:rsidR="00CC0542" w:rsidRPr="0071555B" w:rsidTr="001A075B">
        <w:trPr>
          <w:trHeight w:val="1825"/>
        </w:trPr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Дошкольные образовательные организации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сельских населенных пунктах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500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304" w:type="dxa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Организации дополнительного образования детей</w:t>
            </w:r>
          </w:p>
        </w:tc>
        <w:tc>
          <w:tcPr>
            <w:tcW w:w="1247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5783" w:type="dxa"/>
            <w:gridSpan w:val="6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населенных пунктах, являющихся административными центрами муниципальных районов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иных населенных пунктах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физической культуры и массового спорта</w:t>
            </w: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Спортивные сооружения, предназначенные для организации и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проведения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 xml:space="preserve">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Физкультурно-спортивные залы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общей площади пола на 1 тысячу человек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350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304" w:type="dxa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Плавательные бассейны</w:t>
            </w:r>
          </w:p>
        </w:tc>
        <w:tc>
          <w:tcPr>
            <w:tcW w:w="1247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зеркала воды на 1 тысячу человек</w:t>
            </w:r>
          </w:p>
        </w:tc>
        <w:tc>
          <w:tcPr>
            <w:tcW w:w="5783" w:type="dxa"/>
            <w:gridSpan w:val="6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населенных пунктах, являющихся административными центрами муниципал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ьных районов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иных населенных пунктах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Плоскостные физкультурно-спортивные сооружения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на 1 тысячу человек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1 000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библиотечного обслуживания</w:t>
            </w:r>
          </w:p>
        </w:tc>
      </w:tr>
      <w:tr w:rsidR="00CC0542" w:rsidRPr="0071555B" w:rsidTr="001A075B">
        <w:trPr>
          <w:trHeight w:val="1343"/>
        </w:trPr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Библиотеки муниципального района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3515" w:type="dxa"/>
            <w:gridSpan w:val="4"/>
          </w:tcPr>
          <w:p w:rsidR="00CC0542" w:rsidRPr="0071555B" w:rsidRDefault="0071555B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м</w:t>
            </w:r>
            <w:r w:rsidR="00CC0542" w:rsidRPr="0071555B">
              <w:rPr>
                <w:rFonts w:ascii="Times New Roman" w:hAnsi="Times New Roman" w:cs="Times New Roman"/>
                <w:szCs w:val="22"/>
              </w:rPr>
              <w:t>еж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C0542" w:rsidRPr="0071555B">
              <w:rPr>
                <w:rFonts w:ascii="Times New Roman" w:hAnsi="Times New Roman" w:cs="Times New Roman"/>
                <w:szCs w:val="22"/>
              </w:rPr>
              <w:t>поселенческие библиотеки</w:t>
            </w:r>
            <w:proofErr w:type="gramEnd"/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культуры и искусства</w:t>
            </w: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Учреждения культуры клубного типа муниципального района (районные дома культуры)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rPr>
          <w:trHeight w:val="3223"/>
        </w:trPr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10.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Музеи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муниципальное образование</w:t>
            </w:r>
          </w:p>
        </w:tc>
        <w:tc>
          <w:tcPr>
            <w:tcW w:w="3515" w:type="dxa"/>
            <w:gridSpan w:val="4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муниципальном районе с числом жителей от 10 тысяч до 20 тысяч человек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Озелененные территории общего пользования (без учета лесов)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квадратный метр на 1 человека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1 000</w:t>
            </w: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Парки культуры и отдыха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</w:t>
            </w:r>
          </w:p>
        </w:tc>
        <w:tc>
          <w:tcPr>
            <w:tcW w:w="3515" w:type="dxa"/>
            <w:gridSpan w:val="4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обеспечения объектами транспортной инфраструктуры</w:t>
            </w:r>
          </w:p>
        </w:tc>
      </w:tr>
      <w:tr w:rsidR="00CC0542" w:rsidRPr="0071555B" w:rsidTr="001A075B">
        <w:tblPrEx>
          <w:tblBorders>
            <w:insideH w:val="nil"/>
          </w:tblBorders>
        </w:tblPrEx>
        <w:tc>
          <w:tcPr>
            <w:tcW w:w="824" w:type="dxa"/>
            <w:gridSpan w:val="2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1304" w:type="dxa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Автомобильные дороги местного значения (улично-дорожная сеть)</w:t>
            </w:r>
          </w:p>
        </w:tc>
        <w:tc>
          <w:tcPr>
            <w:tcW w:w="1247" w:type="dxa"/>
            <w:gridSpan w:val="3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плотность улично-дорожной сети, километры на квадратные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километры территории</w:t>
            </w:r>
          </w:p>
        </w:tc>
        <w:tc>
          <w:tcPr>
            <w:tcW w:w="5783" w:type="dxa"/>
            <w:gridSpan w:val="6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5 &lt;*&gt;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blPrEx>
          <w:tblBorders>
            <w:insideH w:val="nil"/>
          </w:tblBorders>
        </w:tblPrEx>
        <w:tc>
          <w:tcPr>
            <w:tcW w:w="13580" w:type="dxa"/>
            <w:gridSpan w:val="17"/>
            <w:tcBorders>
              <w:top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--------------------------------</w:t>
            </w:r>
          </w:p>
          <w:p w:rsidR="00CC0542" w:rsidRPr="0071555B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&lt;*&gt; Примечание: при расчете обеспеченности учитываются автомобильные дороги</w:t>
            </w:r>
          </w:p>
          <w:p w:rsidR="00CC0542" w:rsidRPr="0071555B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общего пользования федерального значения, автомобильные дороги общего</w:t>
            </w:r>
          </w:p>
          <w:p w:rsidR="00CC0542" w:rsidRPr="0071555B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пользования регионального или межмуниципального значения, автомобильные</w:t>
            </w:r>
          </w:p>
          <w:p w:rsidR="00CC0542" w:rsidRPr="0071555B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дороги местного значения муниципального района, находящиеся в границах</w:t>
            </w:r>
          </w:p>
          <w:p w:rsidR="00CC0542" w:rsidRPr="0071555B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населенных пунктов.</w:t>
            </w:r>
          </w:p>
        </w:tc>
      </w:tr>
      <w:tr w:rsidR="00CC0542" w:rsidRPr="0071555B" w:rsidTr="001A075B">
        <w:trPr>
          <w:trHeight w:val="803"/>
        </w:trPr>
        <w:tc>
          <w:tcPr>
            <w:tcW w:w="771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1418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Стоянки и парковки (парковочные места) общего пользования</w:t>
            </w:r>
          </w:p>
        </w:tc>
        <w:tc>
          <w:tcPr>
            <w:tcW w:w="1134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Уровень обеспеченности в процентах</w:t>
            </w:r>
          </w:p>
        </w:tc>
        <w:tc>
          <w:tcPr>
            <w:tcW w:w="5811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Из расчета не менее чем для 70 % расчетного парка индивидуальных легковых автомобилей, в том числе, % 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пешеходная доступность,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</w:p>
        </w:tc>
        <w:tc>
          <w:tcPr>
            <w:tcW w:w="1372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 входов в жилые дома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 входов в места крупных учреждений торговли и общественного питания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 входов в парки, стадионы</w:t>
            </w:r>
          </w:p>
        </w:tc>
        <w:tc>
          <w:tcPr>
            <w:tcW w:w="1373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10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0542" w:rsidRPr="0071555B" w:rsidTr="001A075B">
        <w:trPr>
          <w:trHeight w:val="802"/>
        </w:trPr>
        <w:tc>
          <w:tcPr>
            <w:tcW w:w="771" w:type="dxa"/>
            <w:vMerge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3"/>
            <w:vMerge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5" w:type="dxa"/>
            <w:gridSpan w:val="4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Жилые районы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Административные центры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Промышленные и коммунально-складские зоны (районы)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Зоны массового кратковременного отдыха</w:t>
            </w:r>
          </w:p>
        </w:tc>
        <w:tc>
          <w:tcPr>
            <w:tcW w:w="2906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25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25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                          15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dxa"/>
            <w:gridSpan w:val="3"/>
            <w:vMerge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3" w:type="dxa"/>
            <w:vMerge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Объекты в области обращения с отходами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1304" w:type="dxa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1247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1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Твердые бытовые отходы:</w:t>
            </w:r>
          </w:p>
        </w:tc>
        <w:tc>
          <w:tcPr>
            <w:tcW w:w="130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кг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литры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 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130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190 - 225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900 - 1000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 от прочих жилых зданий</w:t>
            </w:r>
          </w:p>
        </w:tc>
        <w:tc>
          <w:tcPr>
            <w:tcW w:w="130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300 - 450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1100 - 1500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Общее количество с учетом общественных зданий</w:t>
            </w:r>
          </w:p>
        </w:tc>
        <w:tc>
          <w:tcPr>
            <w:tcW w:w="130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280 - 300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1400 - 1500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Жидкие из выгребов (при отсутствии канализации)</w:t>
            </w:r>
          </w:p>
        </w:tc>
        <w:tc>
          <w:tcPr>
            <w:tcW w:w="130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2000 - 35000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Смет с 1 кв. м твердых покрытий улиц, площадей и парков</w:t>
            </w:r>
          </w:p>
        </w:tc>
        <w:tc>
          <w:tcPr>
            <w:tcW w:w="130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5 - 15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8 - 20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Примечание: Нормы накопления крупногабаритных бытовых отходов следует принимать в размере 5% в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составе приведенных значений твердых бытовых отходов.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Объекты в области обеспечения инженерной и коммунальной инфраструктурой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1304" w:type="dxa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электроснабжения</w:t>
            </w:r>
          </w:p>
        </w:tc>
        <w:tc>
          <w:tcPr>
            <w:tcW w:w="1247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электропотребление, кВт·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ч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>/год на 1 чел., использование максимума электрической нагрузки, ч/год</w:t>
            </w:r>
          </w:p>
        </w:tc>
        <w:tc>
          <w:tcPr>
            <w:tcW w:w="178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Степень благоустройства</w:t>
            </w:r>
          </w:p>
        </w:tc>
        <w:tc>
          <w:tcPr>
            <w:tcW w:w="1729" w:type="dxa"/>
            <w:gridSpan w:val="3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Электропотребление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Использование максимума электрической нагрузки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Сельские населенные пункты (без кондиционеров)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не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оборудованные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 xml:space="preserve"> стационарными электроплитами</w:t>
            </w:r>
          </w:p>
        </w:tc>
        <w:tc>
          <w:tcPr>
            <w:tcW w:w="1729" w:type="dxa"/>
            <w:gridSpan w:val="3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950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4100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оборудованные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 xml:space="preserve"> стационарными электроплитами (100% охвата)</w:t>
            </w:r>
          </w:p>
        </w:tc>
        <w:tc>
          <w:tcPr>
            <w:tcW w:w="1729" w:type="dxa"/>
            <w:gridSpan w:val="3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2400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5800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газоснабжения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приготовление пищи на плите - 0,5;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горячее водоснабжение с использованием газового проточного водонагревателя - 0,5;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отопление с использованием бытового газового отопительного аппарата с водяным контуром - от 7 до 12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1304" w:type="dxa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Многофункциональные центры предоставления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государственных и муниципальных услуг</w:t>
            </w:r>
          </w:p>
        </w:tc>
        <w:tc>
          <w:tcPr>
            <w:tcW w:w="1247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 xml:space="preserve">количество окон в многофункциональном центре на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каждые 5 тысяч жителей</w:t>
            </w:r>
          </w:p>
        </w:tc>
        <w:tc>
          <w:tcPr>
            <w:tcW w:w="5783" w:type="dxa"/>
            <w:gridSpan w:val="6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В секторе приема заявителей предусматривается не менее 1 окна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в населенных пунктах, являющихся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административными центрами муниципальных районов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30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иных населенных пунктах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</w:tbl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3. Правила и область применения расчетных показателей,</w:t>
      </w:r>
    </w:p>
    <w:p w:rsidR="00CC0542" w:rsidRPr="0071555B" w:rsidRDefault="00CC0542" w:rsidP="00CC054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содержащихся в основной части местных нормативов</w:t>
      </w:r>
    </w:p>
    <w:p w:rsidR="00CC0542" w:rsidRPr="0071555B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color w:val="0A2666"/>
          <w:szCs w:val="22"/>
        </w:rPr>
      </w:pPr>
      <w:bookmarkStart w:id="2" w:name="P976"/>
      <w:bookmarkEnd w:id="2"/>
    </w:p>
    <w:p w:rsidR="00CC0542" w:rsidRPr="0071555B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71555B">
        <w:rPr>
          <w:rFonts w:ascii="Times New Roman" w:hAnsi="Times New Roman" w:cs="Times New Roman"/>
          <w:szCs w:val="22"/>
        </w:rPr>
        <w:t>Расчетные показатели, установленные в местных нормативах применяются</w:t>
      </w:r>
      <w:proofErr w:type="gramEnd"/>
      <w:r w:rsidRPr="0071555B">
        <w:rPr>
          <w:rFonts w:ascii="Times New Roman" w:hAnsi="Times New Roman" w:cs="Times New Roman"/>
          <w:szCs w:val="22"/>
        </w:rPr>
        <w:t xml:space="preserve"> при подготовке: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1) схемы территориального планирования</w:t>
      </w:r>
      <w:r w:rsidR="00344EA0">
        <w:rPr>
          <w:rFonts w:ascii="Times New Roman" w:hAnsi="Times New Roman" w:cs="Times New Roman"/>
          <w:szCs w:val="22"/>
        </w:rPr>
        <w:t xml:space="preserve"> сельского поселения Печинено </w:t>
      </w:r>
      <w:r w:rsidRPr="0071555B">
        <w:rPr>
          <w:rFonts w:ascii="Times New Roman" w:hAnsi="Times New Roman" w:cs="Times New Roman"/>
          <w:szCs w:val="22"/>
        </w:rPr>
        <w:t xml:space="preserve"> муниципального района </w:t>
      </w:r>
      <w:r w:rsidR="0071555B" w:rsidRPr="0071555B">
        <w:rPr>
          <w:rFonts w:ascii="Times New Roman" w:hAnsi="Times New Roman" w:cs="Times New Roman"/>
          <w:szCs w:val="22"/>
        </w:rPr>
        <w:t>Богатовский</w:t>
      </w:r>
      <w:r w:rsidRPr="0071555B">
        <w:rPr>
          <w:rFonts w:ascii="Times New Roman" w:hAnsi="Times New Roman" w:cs="Times New Roman"/>
          <w:szCs w:val="22"/>
        </w:rPr>
        <w:t xml:space="preserve"> Самарской области;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2) генеральн</w:t>
      </w:r>
      <w:r w:rsidR="00344EA0">
        <w:rPr>
          <w:rFonts w:ascii="Times New Roman" w:hAnsi="Times New Roman" w:cs="Times New Roman"/>
          <w:szCs w:val="22"/>
        </w:rPr>
        <w:t xml:space="preserve">ого </w:t>
      </w:r>
      <w:r w:rsidRPr="0071555B">
        <w:rPr>
          <w:rFonts w:ascii="Times New Roman" w:hAnsi="Times New Roman" w:cs="Times New Roman"/>
          <w:szCs w:val="22"/>
        </w:rPr>
        <w:t xml:space="preserve"> план</w:t>
      </w:r>
      <w:r w:rsidR="00344EA0">
        <w:rPr>
          <w:rFonts w:ascii="Times New Roman" w:hAnsi="Times New Roman" w:cs="Times New Roman"/>
          <w:szCs w:val="22"/>
        </w:rPr>
        <w:t>а</w:t>
      </w:r>
      <w:r w:rsidR="0071555B"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>сельск</w:t>
      </w:r>
      <w:r w:rsidR="00344EA0">
        <w:rPr>
          <w:rFonts w:ascii="Times New Roman" w:hAnsi="Times New Roman" w:cs="Times New Roman"/>
          <w:szCs w:val="22"/>
        </w:rPr>
        <w:t>ого поселения Печинено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3) документации по планировке территории.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2. Области применения расчетных показателей, указанных в </w:t>
      </w:r>
      <w:hyperlink w:anchor="P976" w:history="1">
        <w:r w:rsidRPr="0071555B">
          <w:rPr>
            <w:rFonts w:ascii="Times New Roman" w:hAnsi="Times New Roman" w:cs="Times New Roman"/>
            <w:szCs w:val="22"/>
          </w:rPr>
          <w:t>пункте 1</w:t>
        </w:r>
      </w:hyperlink>
      <w:r w:rsidRPr="0071555B">
        <w:rPr>
          <w:rFonts w:ascii="Times New Roman" w:hAnsi="Times New Roman" w:cs="Times New Roman"/>
          <w:szCs w:val="22"/>
        </w:rPr>
        <w:t xml:space="preserve"> настоящего раздела, приведены в </w:t>
      </w:r>
      <w:hyperlink w:anchor="P990" w:history="1">
        <w:r w:rsidRPr="0071555B">
          <w:rPr>
            <w:rFonts w:ascii="Times New Roman" w:hAnsi="Times New Roman" w:cs="Times New Roman"/>
            <w:szCs w:val="22"/>
          </w:rPr>
          <w:t>таблице 1</w:t>
        </w:r>
      </w:hyperlink>
      <w:r w:rsidRPr="0071555B">
        <w:rPr>
          <w:rFonts w:ascii="Times New Roman" w:hAnsi="Times New Roman" w:cs="Times New Roman"/>
          <w:szCs w:val="22"/>
        </w:rPr>
        <w:t>.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3" w:name="P990"/>
      <w:bookmarkEnd w:id="3"/>
    </w:p>
    <w:p w:rsidR="00CC0542" w:rsidRPr="0071555B" w:rsidRDefault="00CC0542" w:rsidP="00CC0542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bookmarkStart w:id="4" w:name="P1478"/>
      <w:bookmarkEnd w:id="4"/>
      <w:r w:rsidRPr="0071555B">
        <w:rPr>
          <w:rFonts w:ascii="Times New Roman" w:hAnsi="Times New Roman" w:cs="Times New Roman"/>
          <w:szCs w:val="22"/>
        </w:rPr>
        <w:t xml:space="preserve">Таблица 1. Области применения расчетных показателей, установленных местными </w:t>
      </w:r>
    </w:p>
    <w:p w:rsidR="00CC0542" w:rsidRPr="0071555B" w:rsidRDefault="00CC0542" w:rsidP="00CC054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нормативами </w:t>
      </w: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Принятые сокращения: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СТП м.р. - схема территориального планирования</w:t>
      </w:r>
      <w:r w:rsidR="00344EA0">
        <w:rPr>
          <w:rFonts w:ascii="Times New Roman" w:hAnsi="Times New Roman" w:cs="Times New Roman"/>
          <w:szCs w:val="22"/>
        </w:rPr>
        <w:t xml:space="preserve"> сельского поселения Печинено </w:t>
      </w:r>
      <w:r w:rsidRPr="0071555B">
        <w:rPr>
          <w:rFonts w:ascii="Times New Roman" w:hAnsi="Times New Roman" w:cs="Times New Roman"/>
          <w:szCs w:val="22"/>
        </w:rPr>
        <w:t xml:space="preserve"> муниципального района</w:t>
      </w:r>
      <w:r w:rsidR="0071555B">
        <w:rPr>
          <w:rFonts w:ascii="Times New Roman" w:hAnsi="Times New Roman" w:cs="Times New Roman"/>
          <w:szCs w:val="22"/>
        </w:rPr>
        <w:t xml:space="preserve"> Богатовский</w:t>
      </w:r>
      <w:r w:rsidRPr="0071555B">
        <w:rPr>
          <w:rFonts w:ascii="Times New Roman" w:hAnsi="Times New Roman" w:cs="Times New Roman"/>
          <w:szCs w:val="22"/>
        </w:rPr>
        <w:t xml:space="preserve"> Самарской области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lastRenderedPageBreak/>
        <w:t xml:space="preserve">ГП с.п. - генеральный план сельского поселения, </w:t>
      </w:r>
      <w:bookmarkStart w:id="5" w:name="_GoBack"/>
      <w:bookmarkEnd w:id="5"/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ДПТ - документация по планировке территории</w:t>
      </w: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1247"/>
        <w:gridCol w:w="2416"/>
        <w:gridCol w:w="2551"/>
        <w:gridCol w:w="2289"/>
      </w:tblGrid>
      <w:tr w:rsidR="00CC0542" w:rsidRPr="0071555B" w:rsidTr="001A075B">
        <w:tc>
          <w:tcPr>
            <w:tcW w:w="624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438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247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Единицы измерения расчетного показателя</w:t>
            </w:r>
          </w:p>
        </w:tc>
        <w:tc>
          <w:tcPr>
            <w:tcW w:w="7256" w:type="dxa"/>
            <w:gridSpan w:val="3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Непосредственное применение</w:t>
            </w:r>
          </w:p>
        </w:tc>
      </w:tr>
      <w:tr w:rsidR="00CC0542" w:rsidRPr="0071555B" w:rsidTr="001A075B">
        <w:tc>
          <w:tcPr>
            <w:tcW w:w="62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СТП м.р.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ГП с.п.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ДПТ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образования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учащихся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438" w:type="dxa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общеобразовательных организаций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дошкольными образовательными организациями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Максимально допустимый уровень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территориальной доступности дошкольных образовательных организаций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 xml:space="preserve">пешеходная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доступность, метры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организациями дополнительного образования детей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организаций дополнительного образования детей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физической культуры и массового спорта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Минимально допустимый уровень обеспеченности спортивными сооружениями, предназначенными для организации и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проведения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 xml:space="preserve"> официальных физкультурно-оздоровительных и спортивных мероприятий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количество объектов на муниципальный район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8.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физкультурно-спортивными залами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общей площади пола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физкультурно-спортивных залов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плавательными бассейнами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зеркала воды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плавательных бассейнов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Минимально допустимый уровень обеспеченности плоскостными физкультурно-спортивными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сооружениями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квадратные метры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13.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плоскостных физкультурно-спортивных сооружений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библиотечного обслуживания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библиотеками муниципального района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культуры и искусства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учреждениями культуры клубного типа муниципального района (районными домами культуры)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музеями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муниципальное образование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17.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универсальными спортивно-зрелищными залами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озелененными территориями общего пользования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квадратный метр на 1 человека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озелененных территорий общего пользования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В области обеспечения объектами транспортной инфраструктуры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автомобильными дорогами местного значения (улично-дорожной сетью)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уровень обеспеченности в процентах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стоянок и парковок (парковочных мест) общего пользования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пешеходная доступность,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обращения с отходами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Минимально допустимый уровень обеспеченности объектами, предназначенными для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сбора и вывоза бытовых отходов и мусора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нормы накопления бытовых отходов, килограмм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ы, литры на 1 человека в год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В области обеспечения инженерной и коммунальной инфраструктурой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электропотребление, кВт·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ч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>/год на 1 чел., использование максимума электрической нагрузки, ч/год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27.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организации предоставления населению государственных и муниципальных услуг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28.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Минимально допустимый уровень обеспеченности многофункциональными центрами предоставления государственных и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муниципальных услуг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 xml:space="preserve">количество окон в многофункциональном центре на каждые 5 тысяч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жителей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29.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</w:tbl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D6C7C" w:rsidRPr="0071555B" w:rsidRDefault="004D6C7C">
      <w:pPr>
        <w:rPr>
          <w:rFonts w:ascii="Times New Roman" w:hAnsi="Times New Roman" w:cs="Times New Roman"/>
        </w:rPr>
      </w:pPr>
    </w:p>
    <w:sectPr w:rsidR="004D6C7C" w:rsidRPr="0071555B" w:rsidSect="003E124C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C0542"/>
    <w:rsid w:val="00344EA0"/>
    <w:rsid w:val="004D6C7C"/>
    <w:rsid w:val="0071555B"/>
    <w:rsid w:val="008F4A23"/>
    <w:rsid w:val="009360D6"/>
    <w:rsid w:val="00C92017"/>
    <w:rsid w:val="00CC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0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CC0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1309FDBF47D1BD1592C05E146AD49AD26295D09161DABE6A2DFADE03D8DA0CAFB839D6F9CA8A5AeEI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2151</Words>
  <Characters>12266</Characters>
  <Application>Microsoft Office Word</Application>
  <DocSecurity>0</DocSecurity>
  <Lines>102</Lines>
  <Paragraphs>28</Paragraphs>
  <ScaleCrop>false</ScaleCrop>
  <Company/>
  <LinksUpToDate>false</LinksUpToDate>
  <CharactersWithSpaces>14389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2017-11-01T07:21:00Z</dcterms:created>
  <dcterms:modified xsi:type="dcterms:W3CDTF">2017-11-08T06:36:00Z</dcterms:modified>
</cp:coreProperties>
</file>