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15" w:rsidRDefault="00325715" w:rsidP="00325715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Приложение </w:t>
      </w:r>
    </w:p>
    <w:p w:rsidR="00325715" w:rsidRDefault="00325715" w:rsidP="00325715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Решению Собрания представителей</w:t>
      </w:r>
    </w:p>
    <w:p w:rsidR="00325715" w:rsidRDefault="00325715" w:rsidP="00325715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Cs w:val="22"/>
        </w:rPr>
        <w:t>Арзамасцевка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</w:p>
    <w:p w:rsidR="00325715" w:rsidRDefault="00325715" w:rsidP="00325715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Cs w:val="22"/>
        </w:rPr>
        <w:t>Богатовский</w:t>
      </w:r>
      <w:proofErr w:type="spellEnd"/>
    </w:p>
    <w:p w:rsidR="00325715" w:rsidRDefault="00325715" w:rsidP="00325715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Самарской области № 23 от 19.12.2017г.</w:t>
      </w:r>
    </w:p>
    <w:p w:rsidR="00325715" w:rsidRDefault="00325715" w:rsidP="00325715">
      <w:pPr>
        <w:pStyle w:val="ConsPlusTitle"/>
        <w:tabs>
          <w:tab w:val="left" w:pos="2700"/>
        </w:tabs>
        <w:jc w:val="center"/>
        <w:rPr>
          <w:rFonts w:ascii="Times New Roman" w:hAnsi="Times New Roman" w:cs="Times New Roman"/>
          <w:szCs w:val="22"/>
        </w:rPr>
      </w:pPr>
    </w:p>
    <w:p w:rsidR="009360D6" w:rsidRDefault="009360D6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МЕСТНЫЕ НОРМАТИВЫ</w:t>
      </w:r>
    </w:p>
    <w:p w:rsidR="00CC0542" w:rsidRPr="0071555B" w:rsidRDefault="00CC0542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ГРАДОСТРОИТЕЛЬНОГО ПРОЕКТИРОВАНИЯ </w:t>
      </w:r>
      <w:r w:rsidR="00890414">
        <w:rPr>
          <w:rFonts w:ascii="Times New Roman" w:hAnsi="Times New Roman" w:cs="Times New Roman"/>
          <w:szCs w:val="22"/>
        </w:rPr>
        <w:t xml:space="preserve"> СЕЛЬСКОГО ПОСЕЛЕНИЯ АРЗАМАСЦЕВКА </w:t>
      </w:r>
      <w:r w:rsidRPr="0071555B">
        <w:rPr>
          <w:rFonts w:ascii="Times New Roman" w:hAnsi="Times New Roman" w:cs="Times New Roman"/>
          <w:szCs w:val="22"/>
        </w:rPr>
        <w:t xml:space="preserve">МУНЦИПАЛЬНОГО РАЙОНА </w:t>
      </w:r>
    </w:p>
    <w:p w:rsidR="00CC0542" w:rsidRPr="0071555B" w:rsidRDefault="0071555B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БОГАТОВСКИЙ</w:t>
      </w:r>
      <w:r w:rsidR="00CC0542"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1. Общие положения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1.1. Настоящие местные нормативы градостроительного проектирования </w:t>
      </w:r>
      <w:r w:rsidR="00890414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890414">
        <w:rPr>
          <w:rFonts w:ascii="Times New Roman" w:hAnsi="Times New Roman" w:cs="Times New Roman"/>
          <w:szCs w:val="22"/>
        </w:rPr>
        <w:t>Арзамасцевка</w:t>
      </w:r>
      <w:proofErr w:type="spellEnd"/>
      <w:r w:rsidR="00890414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(далее - местные нормативы) разработаны в соответствии с положениями статей 29.1, 29.2, 29.4 Градостроительного кодекса Российской Федерации и устанавливают:</w:t>
      </w: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1555B">
        <w:rPr>
          <w:rFonts w:ascii="Times New Roman" w:hAnsi="Times New Roman" w:cs="Times New Roman"/>
          <w:szCs w:val="22"/>
        </w:rPr>
        <w:t xml:space="preserve">совокупность расчетных показателей минимально допустимого уровня обеспеченности объектами местного </w:t>
      </w:r>
      <w:proofErr w:type="spellStart"/>
      <w:r w:rsidRPr="0071555B">
        <w:rPr>
          <w:rFonts w:ascii="Times New Roman" w:hAnsi="Times New Roman" w:cs="Times New Roman"/>
          <w:szCs w:val="22"/>
        </w:rPr>
        <w:t>значения</w:t>
      </w:r>
      <w:r w:rsidR="00890414">
        <w:rPr>
          <w:rFonts w:ascii="Times New Roman" w:hAnsi="Times New Roman" w:cs="Times New Roman"/>
          <w:szCs w:val="22"/>
        </w:rPr>
        <w:t>сельского</w:t>
      </w:r>
      <w:proofErr w:type="spellEnd"/>
      <w:r w:rsidR="00890414">
        <w:rPr>
          <w:rFonts w:ascii="Times New Roman" w:hAnsi="Times New Roman" w:cs="Times New Roman"/>
          <w:szCs w:val="22"/>
        </w:rPr>
        <w:t xml:space="preserve"> поселения </w:t>
      </w:r>
      <w:proofErr w:type="spellStart"/>
      <w:r w:rsidR="00890414">
        <w:rPr>
          <w:rFonts w:ascii="Times New Roman" w:hAnsi="Times New Roman" w:cs="Times New Roman"/>
          <w:szCs w:val="22"/>
        </w:rPr>
        <w:t>Арзамасцевка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области,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относящимися к областям, указанным в </w:t>
      </w:r>
      <w:bookmarkStart w:id="0" w:name="_GoBack"/>
      <w:r w:rsidR="005C47FC" w:rsidRPr="0071555B">
        <w:rPr>
          <w:rFonts w:ascii="Times New Roman" w:hAnsi="Times New Roman" w:cs="Times New Roman"/>
          <w:szCs w:val="22"/>
        </w:rPr>
        <w:fldChar w:fldCharType="begin"/>
      </w:r>
      <w:r w:rsidRPr="0071555B">
        <w:rPr>
          <w:rFonts w:ascii="Times New Roman" w:hAnsi="Times New Roman" w:cs="Times New Roman"/>
          <w:szCs w:val="22"/>
        </w:rPr>
        <w:instrText xml:space="preserve"> HYPERLINK "consultantplus://offline/ref=7B1309FDBF47D1BD1592C05E146AD49AD26295D09161DABE6A2DFADE03D8DA0CAFB839D6F9CA8A5AeEI4F" </w:instrText>
      </w:r>
      <w:r w:rsidR="005C47FC" w:rsidRPr="0071555B">
        <w:rPr>
          <w:rFonts w:ascii="Times New Roman" w:hAnsi="Times New Roman" w:cs="Times New Roman"/>
          <w:szCs w:val="22"/>
        </w:rPr>
        <w:fldChar w:fldCharType="separate"/>
      </w:r>
      <w:r w:rsidRPr="0071555B">
        <w:rPr>
          <w:rFonts w:ascii="Times New Roman" w:hAnsi="Times New Roman" w:cs="Times New Roman"/>
          <w:szCs w:val="22"/>
        </w:rPr>
        <w:t>пункте 1 части 3 статьи 19</w:t>
      </w:r>
      <w:r w:rsidR="005C47FC" w:rsidRPr="0071555B">
        <w:rPr>
          <w:rFonts w:ascii="Times New Roman" w:hAnsi="Times New Roman" w:cs="Times New Roman"/>
          <w:szCs w:val="22"/>
        </w:rPr>
        <w:fldChar w:fldCharType="end"/>
      </w:r>
      <w:bookmarkEnd w:id="0"/>
      <w:r w:rsidRPr="0071555B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Федерации, иными объектами местного </w:t>
      </w:r>
      <w:proofErr w:type="spellStart"/>
      <w:r w:rsidRPr="0071555B">
        <w:rPr>
          <w:rFonts w:ascii="Times New Roman" w:hAnsi="Times New Roman" w:cs="Times New Roman"/>
          <w:szCs w:val="22"/>
        </w:rPr>
        <w:t>значения</w:t>
      </w:r>
      <w:r w:rsidR="00890414">
        <w:rPr>
          <w:rFonts w:ascii="Times New Roman" w:hAnsi="Times New Roman" w:cs="Times New Roman"/>
          <w:szCs w:val="22"/>
        </w:rPr>
        <w:t>сельского</w:t>
      </w:r>
      <w:proofErr w:type="spellEnd"/>
      <w:r w:rsidR="00890414">
        <w:rPr>
          <w:rFonts w:ascii="Times New Roman" w:hAnsi="Times New Roman" w:cs="Times New Roman"/>
          <w:szCs w:val="22"/>
        </w:rPr>
        <w:t xml:space="preserve"> поселения </w:t>
      </w:r>
      <w:proofErr w:type="spellStart"/>
      <w:r w:rsidR="00890414">
        <w:rPr>
          <w:rFonts w:ascii="Times New Roman" w:hAnsi="Times New Roman" w:cs="Times New Roman"/>
          <w:szCs w:val="22"/>
        </w:rPr>
        <w:t>Арзамасцевка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</w:t>
      </w:r>
      <w:proofErr w:type="spellStart"/>
      <w:r w:rsidRPr="0071555B">
        <w:rPr>
          <w:rFonts w:ascii="Times New Roman" w:hAnsi="Times New Roman" w:cs="Times New Roman"/>
          <w:szCs w:val="22"/>
        </w:rPr>
        <w:t>населения</w:t>
      </w:r>
      <w:r w:rsidR="00890414">
        <w:rPr>
          <w:rFonts w:ascii="Times New Roman" w:hAnsi="Times New Roman" w:cs="Times New Roman"/>
          <w:szCs w:val="22"/>
        </w:rPr>
        <w:t>сельского</w:t>
      </w:r>
      <w:proofErr w:type="spellEnd"/>
      <w:r w:rsidR="00890414">
        <w:rPr>
          <w:rFonts w:ascii="Times New Roman" w:hAnsi="Times New Roman" w:cs="Times New Roman"/>
          <w:szCs w:val="22"/>
        </w:rPr>
        <w:t xml:space="preserve"> поселения </w:t>
      </w:r>
      <w:proofErr w:type="spellStart"/>
      <w:r w:rsidR="00890414">
        <w:rPr>
          <w:rFonts w:ascii="Times New Roman" w:hAnsi="Times New Roman" w:cs="Times New Roman"/>
          <w:szCs w:val="22"/>
        </w:rPr>
        <w:t>Арзамасцевка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муниципального района</w:t>
      </w:r>
      <w:r w:rsidR="0071555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и расчетных показателей максимально допустимого уровня территориальной доступности таких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 объектов для населения </w:t>
      </w:r>
      <w:r w:rsidR="00890414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890414">
        <w:rPr>
          <w:rFonts w:ascii="Times New Roman" w:hAnsi="Times New Roman" w:cs="Times New Roman"/>
          <w:szCs w:val="22"/>
        </w:rPr>
        <w:t>Арзамасцевка</w:t>
      </w:r>
      <w:proofErr w:type="spellEnd"/>
      <w:r w:rsidR="00890414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>муниципального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(далее – расчетные показатели).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35"/>
      <w:bookmarkStart w:id="2" w:name="P36"/>
      <w:bookmarkEnd w:id="1"/>
      <w:bookmarkEnd w:id="2"/>
      <w:r w:rsidRPr="0071555B">
        <w:rPr>
          <w:rFonts w:ascii="Times New Roman" w:hAnsi="Times New Roman" w:cs="Times New Roman"/>
          <w:szCs w:val="22"/>
        </w:rPr>
        <w:t>1.2. Настоящие местные нормативы включают в себя: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основную часть (расчетные показатели, указанные в пункте 1.1настоящих местных нормативов);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материалы по обоснованию расчетных показателей, содержащихся в основной части местных нормативов;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правила и область применения расчетных показателей, содержащихся в основной части местных нормативов.</w:t>
      </w:r>
    </w:p>
    <w:p w:rsidR="00CC0542" w:rsidRPr="0071555B" w:rsidRDefault="00CC0542" w:rsidP="00CC0542">
      <w:pPr>
        <w:rPr>
          <w:rFonts w:ascii="Times New Roman" w:hAnsi="Times New Roman" w:cs="Times New Roman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2. Расчетные показатели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3"/>
        <w:gridCol w:w="1304"/>
        <w:gridCol w:w="61"/>
        <w:gridCol w:w="1134"/>
        <w:gridCol w:w="52"/>
        <w:gridCol w:w="1786"/>
        <w:gridCol w:w="425"/>
        <w:gridCol w:w="642"/>
        <w:gridCol w:w="662"/>
        <w:gridCol w:w="2244"/>
        <w:gridCol w:w="24"/>
        <w:gridCol w:w="1677"/>
        <w:gridCol w:w="24"/>
        <w:gridCol w:w="1247"/>
        <w:gridCol w:w="101"/>
        <w:gridCol w:w="1373"/>
      </w:tblGrid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Наименование вида объекта местного значения</w:t>
            </w:r>
          </w:p>
        </w:tc>
        <w:tc>
          <w:tcPr>
            <w:tcW w:w="7030" w:type="dxa"/>
            <w:gridSpan w:val="9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4422" w:type="dxa"/>
            <w:gridSpan w:val="5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вид доступности, единица измерения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образования</w:t>
            </w:r>
          </w:p>
        </w:tc>
      </w:tr>
      <w:tr w:rsidR="00CC0542" w:rsidRPr="0071555B" w:rsidTr="001A075B">
        <w:trPr>
          <w:trHeight w:val="1288"/>
        </w:trPr>
        <w:tc>
          <w:tcPr>
            <w:tcW w:w="824" w:type="dxa"/>
            <w:gridSpan w:val="2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Общеобразовательные организации</w: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5783" w:type="dxa"/>
            <w:gridSpan w:val="6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пунктах: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2 000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4 000</w:t>
            </w:r>
          </w:p>
        </w:tc>
      </w:tr>
      <w:tr w:rsidR="00CC0542" w:rsidRPr="0071555B" w:rsidTr="001A075B">
        <w:trPr>
          <w:trHeight w:val="3059"/>
        </w:trPr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 &lt;*&gt;: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 &lt;**&gt;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--------------------------------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Примечания: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&lt;*&gt;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м.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&lt;**&gt; Транспортная доступность учащихся II и III ступени обучения не должна превышать 15 км.</w:t>
            </w:r>
          </w:p>
        </w:tc>
      </w:tr>
      <w:tr w:rsidR="00CC0542" w:rsidRPr="0071555B" w:rsidTr="001A075B">
        <w:trPr>
          <w:trHeight w:val="1825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Дошкольные образовательные организации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Организации дополнительного образования детей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в иных населенных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не устанавливает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Спортивные сооружения, предназначенные для организации и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проведения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Физкультурно-спортивные залы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Плавательные бассейны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квадратные метры зеркала воды на 1 тысячу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человек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75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в населенных пунктах, являющихся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Плоскостные физкультурно-спортивные сооружения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библиотечного обслуживания</w:t>
            </w:r>
          </w:p>
        </w:tc>
      </w:tr>
      <w:tr w:rsidR="00CC0542" w:rsidRPr="0071555B" w:rsidTr="001A075B">
        <w:trPr>
          <w:trHeight w:val="1343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Библиотеки муниципального района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3515" w:type="dxa"/>
            <w:gridSpan w:val="4"/>
          </w:tcPr>
          <w:p w:rsidR="00CC0542" w:rsidRPr="0071555B" w:rsidRDefault="0071555B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CC0542" w:rsidRPr="0071555B">
              <w:rPr>
                <w:rFonts w:ascii="Times New Roman" w:hAnsi="Times New Roman" w:cs="Times New Roman"/>
                <w:szCs w:val="22"/>
              </w:rPr>
              <w:t>еж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C0542" w:rsidRPr="0071555B">
              <w:rPr>
                <w:rFonts w:ascii="Times New Roman" w:hAnsi="Times New Roman" w:cs="Times New Roman"/>
                <w:szCs w:val="22"/>
              </w:rPr>
              <w:t>поселенческие библиотеки</w:t>
            </w:r>
            <w:proofErr w:type="gramEnd"/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культуры и искусства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Учреждения культуры клубного типа муниципального района (районные дома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культуры)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rPr>
          <w:trHeight w:val="3223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Музеи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образование</w:t>
            </w:r>
          </w:p>
        </w:tc>
        <w:tc>
          <w:tcPr>
            <w:tcW w:w="3515" w:type="dxa"/>
            <w:gridSpan w:val="4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муниципальном районе с числом жителей от 10 тысяч до 20 тысяч человек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Озелененные территории общего пользования (без учета лесов)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Парки культуры и отдыха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3515" w:type="dxa"/>
            <w:gridSpan w:val="4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обеспечения объектами транспортной инфраструктуры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824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304" w:type="dxa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Автомобильные дороги местного значения (улично-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дорожная сеть)</w:t>
            </w:r>
          </w:p>
        </w:tc>
        <w:tc>
          <w:tcPr>
            <w:tcW w:w="1247" w:type="dxa"/>
            <w:gridSpan w:val="3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плотность улично-дорожной сети, километры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на квадратные километры территории</w:t>
            </w:r>
          </w:p>
        </w:tc>
        <w:tc>
          <w:tcPr>
            <w:tcW w:w="5783" w:type="dxa"/>
            <w:gridSpan w:val="6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5 &lt;*&gt;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--------------------------------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&lt;*&gt; Примечание: при расчете обеспеченности учитываются автомобильные дороги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общего пользования федерального значения, автомобильные дороги общего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пользования регионального или межмуниципального значения, автомобильные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дороги местного значения муниципального района, находящиеся в границах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населенных пунктов.</w:t>
            </w:r>
          </w:p>
        </w:tc>
      </w:tr>
      <w:tr w:rsidR="00CC0542" w:rsidRPr="0071555B" w:rsidTr="001A075B">
        <w:trPr>
          <w:trHeight w:val="803"/>
        </w:trPr>
        <w:tc>
          <w:tcPr>
            <w:tcW w:w="771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418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Стоянки и парковки (парковочные места) общего пользования</w:t>
            </w:r>
          </w:p>
        </w:tc>
        <w:tc>
          <w:tcPr>
            <w:tcW w:w="113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5811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Из расчета не менее чем для 70 % расчетного парка индивидуальных легковых автомобилей, в том числе, % 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пешеходная доступность,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1372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жилые дома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места крупных учреждений торговли и общественного питания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парки, стадионы</w:t>
            </w:r>
          </w:p>
        </w:tc>
        <w:tc>
          <w:tcPr>
            <w:tcW w:w="1373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542" w:rsidRPr="0071555B" w:rsidTr="001A075B">
        <w:trPr>
          <w:trHeight w:val="802"/>
        </w:trPr>
        <w:tc>
          <w:tcPr>
            <w:tcW w:w="771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3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5" w:type="dxa"/>
            <w:gridSpan w:val="4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Жилые районы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Административные центры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Промышленные и коммунально-складские зоны (районы)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Зоны массового кратковременного отдыха</w:t>
            </w:r>
          </w:p>
        </w:tc>
        <w:tc>
          <w:tcPr>
            <w:tcW w:w="2906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                          15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dxa"/>
            <w:gridSpan w:val="3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3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обращения с отходами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Твердые бытовые отходы: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литры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190 - 225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900 - 1000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прочих жилых зданий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300 - 450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1100 - 1500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Общее количество с учетом общественных зданий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280 - 300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1400 - 1500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Жидкие из выгребов (при отсутствии канализации)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2000 - 35000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Смет с 1 кв. м твердых покрытий улиц, площадей и парков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5 - 15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8 - 20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отходов.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обеспечения инженерной и коммунальной инфраструктурой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электроснабжения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Степень благоустройства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Использование максимума электрической нагрузки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Сельские населенные пункты (без кондиционеров)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оборудованные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стационарными электроплитами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950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4100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оборудованные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стационарными электроплитами (100% охвата)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2400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5800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газоснабжения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приготовление пищи на плите - 0,5;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горячее водоснабжение с использованием газового проточного водонагревателя - 0,5;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Многофункциональные центры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окон в многофунк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циональном центре на каждые 5 тысяч жителей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секторе приема заявителей предусматривается не менее 1 окна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в населенных пунктах,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</w:tbl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3. Правила и область применения расчетных показателей,</w:t>
      </w:r>
    </w:p>
    <w:p w:rsidR="00CC0542" w:rsidRPr="0071555B" w:rsidRDefault="00CC0542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содержащихся в основной части местных нормативов</w:t>
      </w: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color w:val="0A2666"/>
          <w:szCs w:val="22"/>
        </w:rPr>
      </w:pPr>
      <w:bookmarkStart w:id="3" w:name="P976"/>
      <w:bookmarkEnd w:id="3"/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71555B">
        <w:rPr>
          <w:rFonts w:ascii="Times New Roman" w:hAnsi="Times New Roman" w:cs="Times New Roman"/>
          <w:szCs w:val="22"/>
        </w:rPr>
        <w:t>Расчетные показатели, установленные в местных нормативах применяются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 при подготовке: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1) схемы территориального планирования </w:t>
      </w:r>
      <w:r w:rsidR="00890414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890414">
        <w:rPr>
          <w:rFonts w:ascii="Times New Roman" w:hAnsi="Times New Roman" w:cs="Times New Roman"/>
          <w:szCs w:val="22"/>
        </w:rPr>
        <w:t>Арзамасцевка</w:t>
      </w:r>
      <w:proofErr w:type="spellEnd"/>
      <w:r w:rsidR="00890414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2) генеральных планов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сельских поселений, входящих в состав 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3) документации по планировке территории.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2. Области применения расчетных показателей, указанных в </w:t>
      </w:r>
      <w:hyperlink w:anchor="P976" w:history="1">
        <w:r w:rsidRPr="0071555B">
          <w:rPr>
            <w:rFonts w:ascii="Times New Roman" w:hAnsi="Times New Roman" w:cs="Times New Roman"/>
            <w:szCs w:val="22"/>
          </w:rPr>
          <w:t>пункте 1</w:t>
        </w:r>
      </w:hyperlink>
      <w:r w:rsidRPr="0071555B">
        <w:rPr>
          <w:rFonts w:ascii="Times New Roman" w:hAnsi="Times New Roman" w:cs="Times New Roman"/>
          <w:szCs w:val="22"/>
        </w:rPr>
        <w:t xml:space="preserve"> настоящего раздела, приведены в </w:t>
      </w:r>
      <w:hyperlink w:anchor="P990" w:history="1">
        <w:r w:rsidRPr="0071555B">
          <w:rPr>
            <w:rFonts w:ascii="Times New Roman" w:hAnsi="Times New Roman" w:cs="Times New Roman"/>
            <w:szCs w:val="22"/>
          </w:rPr>
          <w:t>таблице 1</w:t>
        </w:r>
      </w:hyperlink>
      <w:r w:rsidRPr="0071555B">
        <w:rPr>
          <w:rFonts w:ascii="Times New Roman" w:hAnsi="Times New Roman" w:cs="Times New Roman"/>
          <w:szCs w:val="22"/>
        </w:rPr>
        <w:t>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4" w:name="P990"/>
      <w:bookmarkEnd w:id="4"/>
    </w:p>
    <w:p w:rsidR="00CC0542" w:rsidRPr="0071555B" w:rsidRDefault="00CC0542" w:rsidP="00CC054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5" w:name="P1478"/>
      <w:bookmarkEnd w:id="5"/>
      <w:r w:rsidRPr="0071555B">
        <w:rPr>
          <w:rFonts w:ascii="Times New Roman" w:hAnsi="Times New Roman" w:cs="Times New Roman"/>
          <w:szCs w:val="22"/>
        </w:rPr>
        <w:t xml:space="preserve">Таблица 1. Области применения расчетных показателей, установленных местными </w:t>
      </w:r>
    </w:p>
    <w:p w:rsidR="00CC0542" w:rsidRPr="0071555B" w:rsidRDefault="00CC0542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нормативами 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Принятые сокращения: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lastRenderedPageBreak/>
        <w:t>СТП м.р. - схема территориального планирования</w:t>
      </w:r>
      <w:r w:rsidR="00890414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890414">
        <w:rPr>
          <w:rFonts w:ascii="Times New Roman" w:hAnsi="Times New Roman" w:cs="Times New Roman"/>
          <w:szCs w:val="22"/>
        </w:rPr>
        <w:t>Арзамасцевка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муниципального района</w:t>
      </w:r>
      <w:r w:rsidR="0071555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ГП с.п. - генеральный план сельского поселения, входящего в состав 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ДПТ - документация по планировке территории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1247"/>
        <w:gridCol w:w="2416"/>
        <w:gridCol w:w="2551"/>
        <w:gridCol w:w="2289"/>
      </w:tblGrid>
      <w:tr w:rsidR="00CC0542" w:rsidRPr="0071555B" w:rsidTr="001A075B">
        <w:tc>
          <w:tcPr>
            <w:tcW w:w="62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438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247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Единицы измерения расчетного показателя</w:t>
            </w:r>
          </w:p>
        </w:tc>
        <w:tc>
          <w:tcPr>
            <w:tcW w:w="7256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Непосредственное применение</w:t>
            </w:r>
          </w:p>
        </w:tc>
      </w:tr>
      <w:tr w:rsidR="00CC0542" w:rsidRPr="0071555B" w:rsidTr="001A075B">
        <w:tc>
          <w:tcPr>
            <w:tcW w:w="62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СТП м.р.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ГП с.п.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ДПТ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образования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38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физической культуры и массового спорта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спортивными сооружениями, предназначенными для организации и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проведения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официальных физкультурно-оздоровительных 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спортивных мероприятий муниципального района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зеркала воды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плоскостными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физкультурно-спортивными сооружениями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квадратные метры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плоскостных физкультурно-спортивных сооружений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библиотечного обслуживания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библиотеками муниципального района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культуры и искусства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учреждениями культуры клубного типа муниципального района (районными домами культуры)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музеями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е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Максимально допустимый уровень территориальной доступности парков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культуры и отдыха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пешеходная доступность,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обращения с отходами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объектами,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предназначенными для сбора и вывоза бытовых отходов и мусора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нормы накопления бытовых отходов,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килограммы, литры на 1 человека в год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многофункциональными центрами предоставления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государственных и муниципальных услуг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окон в многофункциональном центре на каждые 5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тысяч жителей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29.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</w:tbl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D6C7C" w:rsidRPr="0071555B" w:rsidRDefault="004D6C7C">
      <w:pPr>
        <w:rPr>
          <w:rFonts w:ascii="Times New Roman" w:hAnsi="Times New Roman" w:cs="Times New Roman"/>
        </w:rPr>
      </w:pPr>
    </w:p>
    <w:sectPr w:rsidR="004D6C7C" w:rsidRPr="0071555B" w:rsidSect="003E124C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542"/>
    <w:rsid w:val="00325715"/>
    <w:rsid w:val="004D6C7C"/>
    <w:rsid w:val="005C47FC"/>
    <w:rsid w:val="0071555B"/>
    <w:rsid w:val="00890414"/>
    <w:rsid w:val="008F4A23"/>
    <w:rsid w:val="009360D6"/>
    <w:rsid w:val="00A81F7D"/>
    <w:rsid w:val="00C92017"/>
    <w:rsid w:val="00CC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C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2196</Words>
  <Characters>12521</Characters>
  <Application>Microsoft Office Word</Application>
  <DocSecurity>0</DocSecurity>
  <Lines>104</Lines>
  <Paragraphs>29</Paragraphs>
  <ScaleCrop>false</ScaleCrop>
  <Company/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2017-11-01T07:21:00Z</dcterms:created>
  <dcterms:modified xsi:type="dcterms:W3CDTF">2017-12-20T10:24:00Z</dcterms:modified>
</cp:coreProperties>
</file>