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Главы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  <w:br/>
        <w:t xml:space="preserve">Максимовка </w:t>
        <w:br/>
        <w:t xml:space="preserve">муниципального района Богатовский </w:t>
        <w:br/>
        <w:t xml:space="preserve">Самарской области</w:t>
      </w:r>
    </w:p>
    <w:p>
      <w:pPr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 июля 2020 года № 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МУНИЦИПАЛЬНЫЙ РАЙОН БОГАТОВСКИЙ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ПРЕДСТАВИТЕЛЕЙ </w:t>
        <w:br/>
        <w:t xml:space="preserve">СЕЛЬСКОГО ПОСЕЛЕНИЯ МАКСИМОВКА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«_____» _____________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№ 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благоустройства территории сельского поселения Максимовка муниципального района Богатовский Самарской области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приведения Правил благоустройства территории сельского поселения Максимовка муниципального района Богатовский Самарской области, утвержденных решением Собрания представителей сельского поселения Максимовка муниципального района Богатовский Самарской области от 19 сентября 2019 года № 19, в соответствие с Постановлением Главного государственного санитарного врача Российской Федерации от 5 декабря 2019 года № 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санитарно-эпидемиологических правил и норм СанПиН 2.1.7.3550-19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зарегистрировано в Минюсте Российской Федерации 25 декабря 2019 года), Законом Самарской области от 18 декабря 2019 года № 138-ГД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статьи 3 и 6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Самарской области от 14 января 2020 года № 5-ГД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статью 3.2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статьи 1.3 и 4.2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административных правонарушениях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Самарской области от 3 марта 2020 года № 24-ГД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изменения в статью 3.2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сельского поселения Максимовка муниципального района Богатовский Самарской области, Собрание представителей сельского поселения Максимовка муниципального района Богатовский Самарской 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благоустройства территории сельского поселения Максимовка муниципального района Богатовский Самарской области, утвержденные решением Собрания представителей сельского поселения Максимовка муниципального района Богатовский Самарской области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19 сентября 2019 года №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(далее – Правила),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следующие изменения: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абзаце втором подпункта 1.3.7 пункта 1.3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дачных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исключить;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 первый подпункта 2 пункта 3.1 после слов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муниципальных образований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3.4 дополнить абзацами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подпункт 5 пункта 4.13 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 не реже 1 раза в 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4.17 изложить в следующей редакции: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вывоз ЖБО в места, не предназначенные для слива отходов.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Выгребы для накопления ЖБО устанавливаются в виде помойниц и дворовых уборных.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должно составлять не менее 10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наполнение выгреба выше, чем 0,35 м от поверхности земли. Выгреб следует очищать не реже 1 раза в 6 месяцев.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5.2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5.5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абзацы первый и второй пункта 5.11 изложить в следующей редакции: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 сосулек.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5.12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Запрещается сбрасывать снег, наледь, сосульки и мусор в воронки водосточных труб.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5.13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Адреса и границы площадок, предназначенных для складирования снега, определяет Администрация поселения.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6.1 дополнить абзацем следующего содержания: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7.1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Окрашенные поверхности фасадов зданий, строений, сооружений должны быть ровными, без пятен и поврежденных мест.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7.3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Домовые знаки на зданиях, сооружениях должны содержаться в исправном состоянии.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7.5 после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сооружений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7.6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вывескам предъявляются следующие требования: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вывесках допускается размещение исключительно информации, предусмотренной Законом Российской Федерации от 07.02.1992 № 2300-1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Информация, относящаяся по своему содержанию к наружной рекламе, подлежит размещению в соответствии с Федеральным законом от 13.03.2006 № 38-ФЗ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должны размещаться на участке фасада, свободном от архитектурных деталей;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в форме настенных конструкций и консольных конструкций, предусмотренные подпунктом 7.6.3 настоящих Правил, размещаются: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выше линии второго этажа (линии перекрытий между первым и вторым этажами) зданий, сооружений;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Высота вывесок, размещаемых на крышах зданий, сооружений, должна быть: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более 0,8 м для 1-2-этажных объектов;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более 1,2 м для 3-5-этажных объектов.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Установка и эксплуатация таких вывесок без проектной документации не допускается.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вывесок, не соответствующих требованиям настоящих Правил;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козырьках, лоджиях, балконах и эркерах зданий;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расстоянии ближе 2 м от мемориальных досок;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 витрине вывесок в виде электронных носителей (экранов) на всю высоту и (или) длину остекления витрины;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ограждающих конструкциях сезонных кафе при стационарных организациях общественного питания;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в виде надувных конструкций, штендеров.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абзацы пятнадцатый и семнадцатый пункта 7.15 признать утратившими силу;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 четвертый пункта 8.4 после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иных искусственных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главу 10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10. Охрана и содержание зелёных насаждений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удаления аварийных, больных деревьев и кустарников;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обеспечения санитарно-эпидемиологических требований к освещённости и инсоляции жилых и иных помещений, зданий;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организации парковок (парковочных мест);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Органом местного самоуправления, уполномоченным на предоставление порубочного билета, является Администрация поселения.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(снос) деревьев и кустарников осуществляется в срок, установленный в порубочном билете.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главу 12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12. Мероприятия по выявлению карантинных, ядовитых и сорных растений, борьбе с ними, локализации, ликвидации их очагов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выявлению карантинных и ядовитых растений, борьбе с ними, локализации, ликвидации их очагов осуществляются: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проводят систематические обследования территорий;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проводят фитосанитарные мероприятия по локализации и ликвидации карантинных и ядовитых растений.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Лица, указанные в пункте 12.1 настоящих Правил, обязаны проводить мероприятия по удалению борщевика Сосновского.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удалению борщевика Сосновского должны проводиться до его бутонизации и начала цветения следующими способами: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химическим - опрыскивание очагов произрастания гербицидами и (или) арборицидами;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механическим - скашивание, уборка сухих растений, выкапывание корневой системы;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агротехническим - обработка почвы, посев многолетних трав.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 не реже 1 раза в 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опубликовать в газете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Вестник сельского поселения Максимовка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разделе сельского поселения Максимовка муниципального района Богатовский Самарской области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http://bogatoe.samregion.ru/mun/seladmin/maximovka/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на следующий день после его официального опубликования.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Главу сельского поселения Максимовка муникципального района Богатовский Самарской области Попова Сергея Геннадьевича.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Собрания представителей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       О.А. Офицерова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Максимовка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                 С.Г. Попов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ogatoe.samregion.ru/mun/seladmin/maximovka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