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Приложение №6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 Постановлению Администрации 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муниципального района Богатовский 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Самарской области 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177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от  04.03.2013 года</w:t>
      </w:r>
    </w:p>
    <w:p>
      <w:pPr>
        <w:widowControl w:val="false"/>
        <w:spacing w:before="100" w:after="119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Отчет об исполнении муниципального задания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муниципальным автономным  учреждением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 физической культуры и спорта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района Богатовский Самарской области </w:t>
      </w:r>
    </w:p>
    <w:p>
      <w:pPr>
        <w:widowControl w:val="false"/>
        <w:spacing w:before="0" w:after="119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2012 год</w:t>
      </w:r>
    </w:p>
    <w:p>
      <w:pPr>
        <w:widowControl w:val="false"/>
        <w:spacing w:before="0" w:after="119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127"/>
        <w:gridCol w:w="1026"/>
        <w:gridCol w:w="1800"/>
        <w:gridCol w:w="1417"/>
        <w:gridCol w:w="1800"/>
        <w:gridCol w:w="1620"/>
      </w:tblGrid>
      <w:tr>
        <w:trPr>
          <w:trHeight w:val="1080" w:hRule="auto"/>
          <w:jc w:val="left"/>
          <w:cantSplit w:val="1"/>
        </w:trPr>
        <w:tc>
          <w:tcPr>
            <w:tcW w:w="21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  <w:br/>
              <w:t xml:space="preserve">показателя</w:t>
            </w:r>
          </w:p>
        </w:tc>
        <w:tc>
          <w:tcPr>
            <w:tcW w:w="10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</w:t>
              <w:br/>
              <w:t xml:space="preserve">измере ния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Значение,  </w:t>
              <w:br/>
              <w:t xml:space="preserve">утвержденное</w:t>
              <w:br/>
              <w:t xml:space="preserve">в муниципальном   </w:t>
              <w:br/>
              <w:t xml:space="preserve">задании на </w:t>
              <w:br/>
              <w:t xml:space="preserve">отчетный  </w:t>
              <w:br/>
              <w:t xml:space="preserve">финансовый </w:t>
              <w:br/>
              <w:t xml:space="preserve">год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Фактическое  </w:t>
              <w:br/>
              <w:t xml:space="preserve">значение </w:t>
              <w:br/>
              <w:t xml:space="preserve">за    </w:t>
              <w:br/>
              <w:t xml:space="preserve">отчетный </w:t>
              <w:br/>
              <w:t xml:space="preserve">финансовый</w:t>
              <w:br/>
              <w:t xml:space="preserve">период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Характеристика</w:t>
              <w:br/>
              <w:t xml:space="preserve">причин    </w:t>
              <w:br/>
              <w:t xml:space="preserve">отклонения от </w:t>
              <w:br/>
              <w:t xml:space="preserve">запланированных    </w:t>
              <w:br/>
              <w:t xml:space="preserve">значений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(и)</w:t>
              <w:br/>
              <w:t xml:space="preserve">информации </w:t>
              <w:br/>
              <w:t xml:space="preserve">о фактическом   </w:t>
              <w:br/>
              <w:t xml:space="preserve">значении  </w:t>
              <w:br/>
              <w:t xml:space="preserve">показателя</w:t>
            </w:r>
          </w:p>
        </w:tc>
      </w:tr>
      <w:tr>
        <w:trPr>
          <w:trHeight w:val="240" w:hRule="auto"/>
          <w:jc w:val="left"/>
        </w:trPr>
        <w:tc>
          <w:tcPr>
            <w:tcW w:w="21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80" w:leader="none"/>
                <w:tab w:val="left" w:pos="108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работ по организации  и проведению физкультурных и спортивных мероприятий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3058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058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Статистические сведения</w:t>
            </w:r>
          </w:p>
        </w:tc>
      </w:tr>
    </w:tbl>
    <w:p>
      <w:pPr>
        <w:tabs>
          <w:tab w:val="left" w:pos="180" w:leader="none"/>
          <w:tab w:val="left" w:pos="1080" w:leader="none"/>
        </w:tabs>
        <w:spacing w:before="0" w:after="0" w:line="240"/>
        <w:ind w:right="-33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80" w:leader="none"/>
          <w:tab w:val="left" w:pos="1080" w:leader="none"/>
        </w:tabs>
        <w:spacing w:before="0" w:after="0" w:line="240"/>
        <w:ind w:right="-33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Сумма финансового обеспечения муниципального задания за 2012 год составила -3 414 697,96 рублей.</w:t>
      </w:r>
    </w:p>
    <w:p>
      <w:pPr>
        <w:widowControl w:val="false"/>
        <w:spacing w:before="100" w:after="11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11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11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11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11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11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