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39" w:rsidRDefault="00763A39" w:rsidP="00763A39">
      <w:pPr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763A39" w:rsidRDefault="00763A39" w:rsidP="00763A39">
      <w:pPr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763A39" w:rsidRDefault="00763A39" w:rsidP="00763A39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763A39" w:rsidRDefault="00763A39" w:rsidP="00763A39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763A39" w:rsidRDefault="00763A39" w:rsidP="00763A39"/>
    <w:p w:rsidR="00763A39" w:rsidRDefault="00763A39" w:rsidP="00763A39">
      <w:pPr>
        <w:jc w:val="center"/>
        <w:rPr>
          <w:sz w:val="48"/>
          <w:szCs w:val="48"/>
        </w:rPr>
      </w:pPr>
      <w:r>
        <w:rPr>
          <w:sz w:val="48"/>
          <w:szCs w:val="48"/>
        </w:rPr>
        <w:t>ПОСТАНОВЛЕНИЕ</w:t>
      </w:r>
    </w:p>
    <w:p w:rsidR="00763A39" w:rsidRDefault="00763A39" w:rsidP="00763A39">
      <w:pPr>
        <w:rPr>
          <w:b/>
          <w:sz w:val="28"/>
          <w:szCs w:val="28"/>
        </w:rPr>
      </w:pPr>
    </w:p>
    <w:p w:rsidR="00763A39" w:rsidRDefault="00763A39" w:rsidP="00763A39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от 1 апреля 2014года  №  </w:t>
      </w:r>
      <w:r>
        <w:rPr>
          <w:sz w:val="32"/>
          <w:szCs w:val="32"/>
        </w:rPr>
        <w:t>15</w:t>
      </w:r>
    </w:p>
    <w:p w:rsidR="00763A39" w:rsidRDefault="00763A39" w:rsidP="00763A39">
      <w:pPr>
        <w:rPr>
          <w:sz w:val="18"/>
          <w:szCs w:val="18"/>
        </w:rPr>
      </w:pPr>
    </w:p>
    <w:p w:rsidR="00763A39" w:rsidRDefault="00763A39" w:rsidP="00763A39">
      <w:pPr>
        <w:rPr>
          <w:sz w:val="18"/>
          <w:szCs w:val="18"/>
        </w:rPr>
      </w:pPr>
    </w:p>
    <w:p w:rsidR="00763A39" w:rsidRDefault="00763A39" w:rsidP="00763A3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организации сбора отработанных ртутьсодержащих ламп</w:t>
      </w:r>
    </w:p>
    <w:p w:rsidR="00763A39" w:rsidRDefault="00763A39" w:rsidP="00763A3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сельского поселения Печинено </w:t>
      </w:r>
    </w:p>
    <w:p w:rsidR="00763A39" w:rsidRDefault="00763A39" w:rsidP="00763A3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Богатовский Самарской области»</w:t>
      </w:r>
    </w:p>
    <w:p w:rsidR="00763A39" w:rsidRDefault="00763A39" w:rsidP="00763A39">
      <w:pPr>
        <w:ind w:firstLine="708"/>
        <w:rPr>
          <w:sz w:val="28"/>
          <w:szCs w:val="28"/>
        </w:rPr>
      </w:pPr>
    </w:p>
    <w:p w:rsidR="00763A39" w:rsidRDefault="00763A39" w:rsidP="00763A3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Во исполнение постановления Правительства РФ от 03.09.2010 № 681  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 может повлечь причинение вреда жизни, здоровью граждан, вреда животным,  растениям и окружающей среде», в соответствии со ст.14 Федерального закона  от 06.10.2003 № 131-ФЗ «Об общих принципах организации местного</w:t>
      </w:r>
      <w:proofErr w:type="gramEnd"/>
      <w:r>
        <w:rPr>
          <w:color w:val="000000"/>
          <w:sz w:val="28"/>
          <w:szCs w:val="28"/>
        </w:rPr>
        <w:t xml:space="preserve"> самоуправления в Российской Федерации», </w:t>
      </w:r>
      <w:r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763A39" w:rsidRDefault="00763A39" w:rsidP="00763A39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763A39" w:rsidRDefault="00763A39" w:rsidP="00763A39">
      <w:pPr>
        <w:spacing w:before="280" w:after="28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     Утвердить Порядок организации сбора отработанных ртутьсодержащих ламп  на территории сельского поселения Печинено</w:t>
      </w:r>
      <w:r w:rsidR="008F4B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 Богатовский Самарской области (Приложение № 1).</w:t>
      </w:r>
    </w:p>
    <w:p w:rsidR="00763A39" w:rsidRDefault="00763A39" w:rsidP="00763A39">
      <w:pPr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Администрации сельского поселения Печинено  муниципального района Богатовский Самарской области:</w:t>
      </w:r>
    </w:p>
    <w:p w:rsidR="00763A39" w:rsidRDefault="00763A39" w:rsidP="00763A39">
      <w:pPr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     обеспечить информирование граждан,  проживающих в населенных пунктах поселения, о порядке осуществления сбора отработанных ртутьсодержащих ламп;</w:t>
      </w:r>
    </w:p>
    <w:p w:rsidR="00763A39" w:rsidRDefault="00763A39" w:rsidP="00763A39">
      <w:pPr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     провести разъяснительную работу в средствах массовой информации о необходимости раздельного сбора ртутьсодержащих отработанных ламп, транспортирования и утилизации их специализированными организациями.</w:t>
      </w:r>
    </w:p>
    <w:p w:rsidR="00763A39" w:rsidRDefault="00763A39" w:rsidP="00763A39">
      <w:pPr>
        <w:ind w:firstLine="993"/>
        <w:jc w:val="both"/>
        <w:rPr>
          <w:color w:val="000000"/>
          <w:sz w:val="28"/>
          <w:szCs w:val="28"/>
        </w:rPr>
      </w:pPr>
    </w:p>
    <w:p w:rsidR="00763A39" w:rsidRDefault="00763A39" w:rsidP="00763A39">
      <w:pPr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    Жителям населенных пунктов сельского поселения Печинено муниципального района Богатовский Самарской области,  при обращении с отработанными ртутьсодержащими лампами, руководствоваться Порядком, утвержденным настоящим постановлением. </w:t>
      </w:r>
    </w:p>
    <w:p w:rsidR="00763A39" w:rsidRDefault="00763A39" w:rsidP="00763A39">
      <w:pPr>
        <w:ind w:firstLine="993"/>
        <w:jc w:val="both"/>
      </w:pPr>
    </w:p>
    <w:p w:rsidR="00763A39" w:rsidRDefault="00763A39" w:rsidP="00763A39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 настоящее Постановление  в «Вестнике сельского поселения Печинено».</w:t>
      </w:r>
    </w:p>
    <w:p w:rsidR="00763A39" w:rsidRDefault="00763A39" w:rsidP="00763A39">
      <w:pPr>
        <w:ind w:firstLine="993"/>
        <w:rPr>
          <w:sz w:val="28"/>
          <w:szCs w:val="28"/>
        </w:rPr>
      </w:pPr>
    </w:p>
    <w:p w:rsidR="00763A39" w:rsidRDefault="00763A39" w:rsidP="00763A39">
      <w:pPr>
        <w:ind w:firstLine="993"/>
        <w:rPr>
          <w:sz w:val="28"/>
          <w:szCs w:val="28"/>
        </w:rPr>
      </w:pPr>
      <w:r>
        <w:rPr>
          <w:sz w:val="28"/>
          <w:szCs w:val="28"/>
        </w:rPr>
        <w:t>6.  Настоящее Постановление вступает со дня его официального опубликования.</w:t>
      </w:r>
    </w:p>
    <w:p w:rsidR="00763A39" w:rsidRDefault="00763A39" w:rsidP="00763A39">
      <w:pPr>
        <w:ind w:firstLine="993"/>
        <w:jc w:val="both"/>
        <w:rPr>
          <w:color w:val="000000"/>
          <w:sz w:val="28"/>
          <w:szCs w:val="28"/>
        </w:rPr>
      </w:pPr>
    </w:p>
    <w:p w:rsidR="00763A39" w:rsidRDefault="00763A39" w:rsidP="00763A39">
      <w:pPr>
        <w:ind w:firstLine="993"/>
        <w:jc w:val="both"/>
        <w:rPr>
          <w:color w:val="000000"/>
          <w:sz w:val="28"/>
          <w:szCs w:val="28"/>
        </w:rPr>
      </w:pPr>
    </w:p>
    <w:p w:rsidR="00763A39" w:rsidRDefault="00763A39" w:rsidP="00763A39">
      <w:pPr>
        <w:ind w:firstLine="993"/>
        <w:jc w:val="both"/>
        <w:rPr>
          <w:color w:val="000000"/>
          <w:sz w:val="28"/>
          <w:szCs w:val="28"/>
        </w:rPr>
      </w:pPr>
    </w:p>
    <w:p w:rsidR="00763A39" w:rsidRDefault="00763A39" w:rsidP="00763A39">
      <w:pPr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сельского поселения Печинено</w:t>
      </w:r>
    </w:p>
    <w:p w:rsidR="00763A39" w:rsidRDefault="00763A39" w:rsidP="00763A39">
      <w:pPr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Богатовский</w:t>
      </w:r>
    </w:p>
    <w:p w:rsidR="00763A39" w:rsidRDefault="00763A39" w:rsidP="00763A39">
      <w:pPr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Самарской области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О.Н.Сухарева</w:t>
      </w:r>
      <w:proofErr w:type="spellEnd"/>
    </w:p>
    <w:p w:rsidR="00763A39" w:rsidRDefault="00763A39" w:rsidP="00763A39">
      <w:pPr>
        <w:ind w:firstLine="993"/>
        <w:jc w:val="both"/>
        <w:rPr>
          <w:color w:val="000000"/>
          <w:sz w:val="28"/>
          <w:szCs w:val="28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8F4B19" w:rsidRDefault="008F4B19" w:rsidP="00763A39">
      <w:pPr>
        <w:ind w:firstLine="993"/>
        <w:jc w:val="both"/>
        <w:rPr>
          <w:color w:val="000000"/>
        </w:rPr>
      </w:pPr>
    </w:p>
    <w:p w:rsidR="008F4B19" w:rsidRDefault="00981303" w:rsidP="00763A39">
      <w:pPr>
        <w:ind w:firstLine="993"/>
        <w:jc w:val="both"/>
        <w:rPr>
          <w:color w:val="000000"/>
        </w:rPr>
      </w:pPr>
      <w:r>
        <w:rPr>
          <w:color w:val="000000"/>
        </w:rPr>
        <w:t xml:space="preserve">  </w:t>
      </w:r>
      <w:bookmarkStart w:id="0" w:name="_GoBack"/>
      <w:bookmarkEnd w:id="0"/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firstLine="993"/>
        <w:jc w:val="both"/>
        <w:rPr>
          <w:color w:val="000000"/>
        </w:rPr>
      </w:pPr>
    </w:p>
    <w:p w:rsidR="00763A39" w:rsidRDefault="00763A39" w:rsidP="00763A39">
      <w:pPr>
        <w:ind w:left="5400"/>
      </w:pPr>
      <w:r>
        <w:rPr>
          <w:rFonts w:ascii="Verdana" w:hAnsi="Verdana"/>
          <w:color w:val="000000"/>
        </w:rPr>
        <w:lastRenderedPageBreak/>
        <w:t>        </w:t>
      </w:r>
      <w:r>
        <w:t>Приложение № 1</w:t>
      </w:r>
    </w:p>
    <w:p w:rsidR="00763A39" w:rsidRDefault="00763A39" w:rsidP="00763A39">
      <w:pPr>
        <w:ind w:left="5103"/>
        <w:jc w:val="both"/>
      </w:pPr>
      <w:r>
        <w:t xml:space="preserve"> к Постановлению главы сельского поселения Печинено муниципального района Богатовский Самарской области </w:t>
      </w:r>
    </w:p>
    <w:p w:rsidR="00763A39" w:rsidRDefault="00763A39" w:rsidP="00763A39">
      <w:pPr>
        <w:ind w:left="5400"/>
        <w:jc w:val="both"/>
      </w:pPr>
      <w:r>
        <w:t>№ 15  от 1 апреля  2014 года</w:t>
      </w:r>
    </w:p>
    <w:p w:rsidR="00763A39" w:rsidRDefault="00763A39" w:rsidP="00763A39">
      <w:pPr>
        <w:spacing w:before="280" w:after="280" w:line="324" w:lineRule="auto"/>
        <w:ind w:firstLine="374"/>
        <w:rPr>
          <w:rFonts w:ascii="Verdana" w:hAnsi="Verdana"/>
          <w:color w:val="000000"/>
        </w:rPr>
      </w:pPr>
    </w:p>
    <w:p w:rsidR="00763A39" w:rsidRDefault="00763A39" w:rsidP="00763A39">
      <w:pPr>
        <w:ind w:firstLine="374"/>
        <w:jc w:val="center"/>
        <w:rPr>
          <w:b/>
          <w:bCs/>
          <w:color w:val="000000"/>
          <w:sz w:val="32"/>
          <w:szCs w:val="32"/>
        </w:rPr>
      </w:pPr>
      <w:r>
        <w:rPr>
          <w:rFonts w:ascii="Verdana" w:hAnsi="Verdana"/>
          <w:color w:val="000000"/>
        </w:rPr>
        <w:br/>
      </w:r>
      <w:r>
        <w:rPr>
          <w:b/>
          <w:bCs/>
          <w:color w:val="000000"/>
          <w:sz w:val="32"/>
          <w:szCs w:val="32"/>
        </w:rPr>
        <w:t xml:space="preserve">Порядок </w:t>
      </w:r>
    </w:p>
    <w:p w:rsidR="00763A39" w:rsidRDefault="00763A39" w:rsidP="00763A39">
      <w:pPr>
        <w:ind w:firstLine="374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организации сбора отработанных ртутьсодержащих ламп на территории сельского поселения Печинено муниципального района Богатовский Самарской области</w:t>
      </w:r>
    </w:p>
    <w:p w:rsidR="00763A39" w:rsidRDefault="00763A39" w:rsidP="00763A39">
      <w:pPr>
        <w:spacing w:before="280" w:after="280" w:line="324" w:lineRule="auto"/>
        <w:ind w:firstLine="374"/>
        <w:jc w:val="both"/>
        <w:rPr>
          <w:color w:val="000000"/>
        </w:rPr>
      </w:pPr>
    </w:p>
    <w:p w:rsidR="00763A39" w:rsidRDefault="00763A39" w:rsidP="00763A39">
      <w:pPr>
        <w:spacing w:before="280" w:after="280" w:line="324" w:lineRule="auto"/>
        <w:ind w:firstLine="37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763A39" w:rsidRDefault="00763A39" w:rsidP="00763A39">
      <w:pPr>
        <w:spacing w:before="280" w:after="240"/>
        <w:ind w:firstLine="374"/>
        <w:jc w:val="both"/>
        <w:rPr>
          <w:color w:val="000000"/>
        </w:rPr>
      </w:pPr>
      <w:r>
        <w:rPr>
          <w:color w:val="000000"/>
        </w:rPr>
        <w:t>     1.1.Порядок организации сбора отработанных ртутьсодержащих ламп на территории сельского поселения Печинено муниципального района Богатовский Самарской области (далее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763A39" w:rsidRDefault="00763A39" w:rsidP="00763A39">
      <w:pPr>
        <w:jc w:val="both"/>
      </w:pPr>
      <w:r>
        <w:t xml:space="preserve">     1.2. Порядок разработан в соответствии с Федеральным законом  от 24.06.1998 года № 89-ФЗ «Об отходах производства и потребления»,  «Гост 12.3.031-83. Система стандартов безопасности труда. Работы </w:t>
      </w:r>
      <w:proofErr w:type="gramStart"/>
      <w:r>
        <w:t>со</w:t>
      </w:r>
      <w:proofErr w:type="gramEnd"/>
      <w:r>
        <w:t xml:space="preserve"> ртутью. Требования безопасности», Санитарных правил при работе </w:t>
      </w:r>
      <w:proofErr w:type="gramStart"/>
      <w:r>
        <w:t>со</w:t>
      </w:r>
      <w:proofErr w:type="gramEnd"/>
      <w:r>
        <w:t xml:space="preserve"> ртутью, ее соединениями и приборами с ртутным заполнением, утв. Главным государственным санитарным врачом СССР 04.04.1988 года № 4607-88, Постановлением Правительства РФ от 03.09.2010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</w:p>
    <w:p w:rsidR="00763A39" w:rsidRDefault="00763A39" w:rsidP="00763A39">
      <w:pPr>
        <w:jc w:val="both"/>
      </w:pPr>
      <w:r>
        <w:br/>
        <w:t xml:space="preserve">     1.3. Правила, установленные настоящим Порядком являются обязательными для исполнения гражданами, </w:t>
      </w:r>
      <w:proofErr w:type="gramStart"/>
      <w:r>
        <w:t>проживающих</w:t>
      </w:r>
      <w:proofErr w:type="gramEnd"/>
      <w:r>
        <w:t xml:space="preserve"> на территории сельского поселения Печинено  (далее потребители).</w:t>
      </w:r>
    </w:p>
    <w:p w:rsidR="00763A39" w:rsidRDefault="00763A39" w:rsidP="00763A39">
      <w:pPr>
        <w:spacing w:before="280" w:after="280" w:line="324" w:lineRule="auto"/>
        <w:ind w:firstLine="37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Организация сбора отработанных ртуть содержащих ламп.</w:t>
      </w:r>
    </w:p>
    <w:p w:rsidR="00763A39" w:rsidRDefault="00763A39" w:rsidP="00763A39">
      <w:pPr>
        <w:spacing w:before="280" w:after="240"/>
        <w:ind w:firstLine="374"/>
        <w:jc w:val="both"/>
        <w:rPr>
          <w:color w:val="000000"/>
        </w:rPr>
      </w:pPr>
      <w:r>
        <w:rPr>
          <w:color w:val="000000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763A39" w:rsidRDefault="00763A39" w:rsidP="00763A39">
      <w:pPr>
        <w:spacing w:before="280" w:after="240"/>
        <w:ind w:firstLine="374"/>
        <w:jc w:val="both"/>
        <w:rPr>
          <w:color w:val="000000"/>
        </w:rPr>
      </w:pPr>
      <w:r>
        <w:rPr>
          <w:color w:val="000000"/>
        </w:rPr>
        <w:t xml:space="preserve">     2.2. </w:t>
      </w:r>
      <w:proofErr w:type="gramStart"/>
      <w:r>
        <w:rPr>
          <w:color w:val="000000"/>
        </w:rPr>
        <w:t>Накопление отработанных ртутьсодержащих ламп от физических лиц, проживающих в многоквартирных жилых домах, производят:</w:t>
      </w:r>
      <w:r>
        <w:rPr>
          <w:color w:val="000000"/>
        </w:rPr>
        <w:br/>
        <w:t xml:space="preserve">     а) при управлении управляющей организацией - юридические лица и индивидуальные предприниматели, осуществляющие управление многоквартирными домами на основании </w:t>
      </w:r>
      <w:r>
        <w:rPr>
          <w:color w:val="000000"/>
        </w:rPr>
        <w:lastRenderedPageBreak/>
        <w:t>заключенного договора с собственниками помещений многоквартирного дома.</w:t>
      </w:r>
      <w:r>
        <w:rPr>
          <w:color w:val="000000"/>
        </w:rPr>
        <w:br/>
        <w:t>     б) при управлении товариществом собственников жилья либо жилищным кооперативом или иным специализированным потребительским кооперативом - товариществом собственников жилья либо жилищным кооперативом или иным специализированным потребительским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кооперативом, либо юридическими лицами и индивидуальными предпринимателями, заключившими с указанными организациями договоры на оказание услуг по содержанию и ремонту общего имущества.</w:t>
      </w:r>
      <w:r>
        <w:rPr>
          <w:color w:val="000000"/>
        </w:rPr>
        <w:br/>
        <w:t>     в) при непосредственном управлении собственниками помещений в многоквартирном доме - юридические лица и индивидуальные предприниматели, заключившие с собственниками помещений многоквартирного дома договоры на оказание услуг по содержанию и ремонту общего имущества в таком доме.</w:t>
      </w:r>
      <w:proofErr w:type="gramEnd"/>
    </w:p>
    <w:p w:rsidR="00763A39" w:rsidRDefault="00763A39" w:rsidP="00763A39">
      <w:pPr>
        <w:spacing w:before="280" w:after="240"/>
        <w:ind w:firstLine="374"/>
        <w:jc w:val="both"/>
        <w:rPr>
          <w:color w:val="000000"/>
        </w:rPr>
      </w:pPr>
      <w:r>
        <w:rPr>
          <w:color w:val="000000"/>
        </w:rPr>
        <w:t xml:space="preserve">2.3. Лица, проживающие в частном секторе, обязаны сдавать отработанные ртутьсодержащие лампы юридическим лицам или индивидуальным предпринимателям, имеющим лицензии на осуществление деятельности по сбору, использованию, обезвреживанию, транспортированию, размещению отходов I - IV класса опасности (далее специализированные организации). </w:t>
      </w:r>
    </w:p>
    <w:p w:rsidR="00763A39" w:rsidRDefault="00763A39" w:rsidP="00763A39">
      <w:pPr>
        <w:spacing w:before="280" w:after="240"/>
        <w:ind w:firstLine="374"/>
        <w:jc w:val="both"/>
        <w:rPr>
          <w:color w:val="000000"/>
        </w:rPr>
      </w:pPr>
      <w:r>
        <w:rPr>
          <w:color w:val="000000"/>
        </w:rPr>
        <w:t xml:space="preserve">2.4. Накопление отработанных ртутьсодержащих ламп в местах, являющихся общим имуществом собственников помещений многоквартирного дома, не допускается. </w:t>
      </w:r>
    </w:p>
    <w:p w:rsidR="00763A39" w:rsidRDefault="00763A39" w:rsidP="00763A39">
      <w:pPr>
        <w:spacing w:before="280" w:after="240"/>
        <w:ind w:firstLine="374"/>
        <w:jc w:val="both"/>
        <w:rPr>
          <w:color w:val="000000"/>
        </w:rPr>
      </w:pPr>
      <w:r>
        <w:rPr>
          <w:color w:val="000000"/>
        </w:rPr>
        <w:t xml:space="preserve">2.5. Накопление должно производиться в соответствии с требованиями «Гост 12.3.031-83. Система стандартов безопасности труда. Работы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ртутью. Требования безопасности», Санитарных правил при работе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ртутью,  ее соединениями и приборами с ртутным заполнением, утв. Главным государственным санитарным врачом СССР 04.04.1988 № 4607-88.</w:t>
      </w:r>
    </w:p>
    <w:p w:rsidR="00763A39" w:rsidRDefault="00763A39" w:rsidP="00763A39">
      <w:pPr>
        <w:spacing w:before="280" w:after="240"/>
        <w:ind w:firstLine="374"/>
        <w:jc w:val="both"/>
        <w:rPr>
          <w:color w:val="000000"/>
        </w:rPr>
      </w:pPr>
      <w:r>
        <w:rPr>
          <w:color w:val="000000"/>
        </w:rPr>
        <w:t>2.6. Накопление отработанных ртутьсодержащих ламп производится отдельно от других видов отходов.</w:t>
      </w:r>
    </w:p>
    <w:p w:rsidR="00763A39" w:rsidRDefault="00763A39" w:rsidP="00763A39">
      <w:pPr>
        <w:spacing w:before="280" w:after="240"/>
        <w:ind w:firstLine="374"/>
        <w:jc w:val="both"/>
        <w:rPr>
          <w:color w:val="000000"/>
        </w:rPr>
      </w:pPr>
      <w:r>
        <w:rPr>
          <w:color w:val="000000"/>
        </w:rPr>
        <w:t>2.6.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763A39" w:rsidRDefault="00763A39" w:rsidP="00763A39">
      <w:pPr>
        <w:spacing w:before="280" w:after="240"/>
        <w:ind w:firstLine="374"/>
        <w:jc w:val="both"/>
        <w:rPr>
          <w:color w:val="000000"/>
        </w:rPr>
      </w:pPr>
      <w:r>
        <w:rPr>
          <w:color w:val="000000"/>
        </w:rPr>
        <w:t>2.7. Не допускается совместное хранение поврежденных и неповрежденных ртутьсодержащих ламп.</w:t>
      </w:r>
    </w:p>
    <w:p w:rsidR="00763A39" w:rsidRDefault="00763A39" w:rsidP="00763A39">
      <w:pPr>
        <w:spacing w:before="280" w:after="240"/>
        <w:ind w:firstLine="374"/>
        <w:jc w:val="both"/>
        <w:rPr>
          <w:color w:val="000000"/>
        </w:rPr>
      </w:pPr>
      <w:r>
        <w:rPr>
          <w:color w:val="000000"/>
        </w:rPr>
        <w:t>Хранение поврежденных ртутьсодержащих ламп осуществляется в специальной таре.</w:t>
      </w:r>
    </w:p>
    <w:p w:rsidR="00763A39" w:rsidRDefault="00763A39" w:rsidP="00763A39">
      <w:pPr>
        <w:spacing w:before="280" w:after="240"/>
        <w:ind w:firstLine="374"/>
        <w:jc w:val="both"/>
        <w:rPr>
          <w:color w:val="000000"/>
        </w:rPr>
      </w:pPr>
      <w:r>
        <w:rPr>
          <w:color w:val="000000"/>
        </w:rPr>
        <w:t>2.8.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763A39" w:rsidRDefault="00763A39" w:rsidP="00763A39">
      <w:pPr>
        <w:spacing w:before="280" w:after="240"/>
        <w:ind w:firstLine="374"/>
        <w:jc w:val="both"/>
        <w:rPr>
          <w:color w:val="000000"/>
        </w:rPr>
      </w:pPr>
      <w:r>
        <w:rPr>
          <w:color w:val="000000"/>
        </w:rPr>
        <w:t>2.9. Сбор и утилизацию отработанных ртутьсодержащих ламп на территории Самарской области,  в том числе прием отработанных ртутьсодержащих ламп от населения,  осуществляют специализированные организации путем заключения соответствующих договоров на оказание услуг по сбору и вывозу ртутьсодержащих отходов.</w:t>
      </w:r>
    </w:p>
    <w:p w:rsidR="00763A39" w:rsidRDefault="00763A39" w:rsidP="00763A39">
      <w:pPr>
        <w:spacing w:before="280" w:after="280" w:line="324" w:lineRule="auto"/>
        <w:ind w:firstLine="37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Информирование населения</w:t>
      </w:r>
    </w:p>
    <w:p w:rsidR="00763A39" w:rsidRDefault="00763A39" w:rsidP="00763A39">
      <w:pPr>
        <w:spacing w:before="280" w:after="280"/>
        <w:ind w:firstLine="374"/>
        <w:jc w:val="both"/>
        <w:rPr>
          <w:color w:val="000000"/>
        </w:rPr>
      </w:pPr>
      <w:r>
        <w:rPr>
          <w:color w:val="000000"/>
        </w:rPr>
        <w:lastRenderedPageBreak/>
        <w:t>3.1. Информирование граждан  о порядке сбора отработанных ртутьсодержащих ламп осуществляется администрацией сельского поселения Печинено,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763A39" w:rsidRDefault="00763A39" w:rsidP="00763A39">
      <w:pPr>
        <w:spacing w:before="280" w:after="280"/>
        <w:ind w:firstLine="374"/>
        <w:jc w:val="both"/>
        <w:rPr>
          <w:color w:val="000000"/>
        </w:rPr>
      </w:pPr>
      <w:r>
        <w:rPr>
          <w:color w:val="000000"/>
        </w:rPr>
        <w:t>3.2. Информация о порядке сбора отработанных ртутьсодержащих ламп размещается в средствах массовой информации (газете «Красное знамя», «Вестнике сельского поселения Печинено») и на официальном сайте Администрации муниципального района Богатовский.</w:t>
      </w:r>
    </w:p>
    <w:p w:rsidR="00763A39" w:rsidRDefault="00763A39" w:rsidP="00763A39">
      <w:pPr>
        <w:ind w:firstLine="374"/>
        <w:jc w:val="both"/>
        <w:rPr>
          <w:color w:val="000000"/>
        </w:rPr>
      </w:pPr>
      <w:r>
        <w:rPr>
          <w:color w:val="000000"/>
        </w:rPr>
        <w:t xml:space="preserve">3.3. Размещению подлежит следующая информация: </w:t>
      </w:r>
    </w:p>
    <w:p w:rsidR="00763A39" w:rsidRDefault="00763A39" w:rsidP="00763A39">
      <w:pPr>
        <w:ind w:firstLine="374"/>
        <w:jc w:val="both"/>
        <w:rPr>
          <w:color w:val="000000"/>
        </w:rPr>
      </w:pPr>
      <w:r>
        <w:rPr>
          <w:color w:val="000000"/>
        </w:rPr>
        <w:t>-      Порядок организации сбора отработанных ртутьсодержащих ламп;</w:t>
      </w:r>
    </w:p>
    <w:p w:rsidR="00763A39" w:rsidRDefault="00763A39" w:rsidP="00763A39">
      <w:pPr>
        <w:ind w:firstLine="374"/>
        <w:jc w:val="both"/>
        <w:rPr>
          <w:color w:val="000000"/>
        </w:rPr>
      </w:pPr>
      <w:r>
        <w:rPr>
          <w:color w:val="000000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>
        <w:rPr>
          <w:color w:val="000000"/>
        </w:rPr>
        <w:t>демеркуризационных</w:t>
      </w:r>
      <w:proofErr w:type="spellEnd"/>
      <w:r>
        <w:rPr>
          <w:color w:val="000000"/>
        </w:rPr>
        <w:t xml:space="preserve"> мероприятий, с указанием места нахождения и контактных телефонов;</w:t>
      </w:r>
    </w:p>
    <w:p w:rsidR="00763A39" w:rsidRDefault="00763A39" w:rsidP="00763A39">
      <w:pPr>
        <w:ind w:firstLine="374"/>
        <w:jc w:val="both"/>
        <w:rPr>
          <w:color w:val="000000"/>
        </w:rPr>
      </w:pPr>
      <w:r>
        <w:rPr>
          <w:color w:val="000000"/>
        </w:rPr>
        <w:t>- Места и условия приема отработанных ртутьсодержащих ламп;</w:t>
      </w:r>
    </w:p>
    <w:p w:rsidR="00763A39" w:rsidRDefault="00763A39" w:rsidP="00763A39">
      <w:pPr>
        <w:ind w:firstLine="374"/>
        <w:jc w:val="both"/>
        <w:rPr>
          <w:color w:val="000000"/>
        </w:rPr>
      </w:pPr>
      <w:r>
        <w:rPr>
          <w:color w:val="000000"/>
        </w:rPr>
        <w:t>- Стоимость услуг  по приему отработанных ртутьсодержащих ламп.</w:t>
      </w:r>
    </w:p>
    <w:p w:rsidR="00763A39" w:rsidRDefault="00763A39" w:rsidP="00763A39">
      <w:pPr>
        <w:ind w:firstLine="374"/>
        <w:jc w:val="center"/>
        <w:rPr>
          <w:b/>
          <w:color w:val="000000"/>
          <w:sz w:val="28"/>
          <w:szCs w:val="28"/>
        </w:rPr>
      </w:pPr>
      <w:r>
        <w:rPr>
          <w:color w:val="000000"/>
        </w:rPr>
        <w:br/>
      </w:r>
      <w:r>
        <w:rPr>
          <w:b/>
          <w:color w:val="000000"/>
          <w:sz w:val="28"/>
          <w:szCs w:val="28"/>
        </w:rPr>
        <w:t xml:space="preserve">4. Ответственность за нарушение правил обращения </w:t>
      </w:r>
      <w:r>
        <w:rPr>
          <w:b/>
          <w:color w:val="000000"/>
          <w:sz w:val="28"/>
          <w:szCs w:val="28"/>
        </w:rPr>
        <w:br/>
        <w:t>с отработанными ртутьсодержащими лампами</w:t>
      </w:r>
    </w:p>
    <w:p w:rsidR="00763A39" w:rsidRDefault="00763A39" w:rsidP="00763A39">
      <w:pPr>
        <w:spacing w:before="280" w:after="240"/>
        <w:ind w:firstLine="374"/>
        <w:rPr>
          <w:color w:val="000000"/>
        </w:rPr>
      </w:pPr>
      <w:r>
        <w:rPr>
          <w:color w:val="000000"/>
        </w:rPr>
        <w:t>4.1.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 в зависимости от наступивших последствий.</w:t>
      </w:r>
      <w:r>
        <w:rPr>
          <w:color w:val="000000"/>
        </w:rPr>
        <w:br/>
      </w:r>
    </w:p>
    <w:p w:rsidR="00763A39" w:rsidRDefault="00763A39" w:rsidP="00763A39">
      <w:pPr>
        <w:spacing w:before="280" w:after="240" w:line="324" w:lineRule="auto"/>
        <w:ind w:firstLine="374"/>
        <w:jc w:val="both"/>
        <w:rPr>
          <w:rFonts w:ascii="Verdana" w:hAnsi="Verdana"/>
          <w:color w:val="000000"/>
        </w:rPr>
      </w:pPr>
    </w:p>
    <w:p w:rsidR="00763A39" w:rsidRDefault="00763A39" w:rsidP="00763A39">
      <w:pPr>
        <w:spacing w:before="280" w:after="240" w:line="324" w:lineRule="auto"/>
        <w:ind w:firstLine="374"/>
        <w:jc w:val="both"/>
        <w:rPr>
          <w:rFonts w:ascii="Verdana" w:hAnsi="Verdana"/>
          <w:color w:val="000000"/>
        </w:rPr>
      </w:pPr>
    </w:p>
    <w:p w:rsidR="00763A39" w:rsidRDefault="00763A39" w:rsidP="00763A39">
      <w:pPr>
        <w:spacing w:before="280" w:after="240" w:line="324" w:lineRule="auto"/>
        <w:ind w:firstLine="374"/>
        <w:jc w:val="both"/>
        <w:rPr>
          <w:rFonts w:ascii="Verdana" w:hAnsi="Verdana"/>
          <w:color w:val="000000"/>
        </w:rPr>
      </w:pPr>
    </w:p>
    <w:p w:rsidR="00763A39" w:rsidRDefault="00763A39" w:rsidP="00763A39">
      <w:pPr>
        <w:spacing w:before="280" w:after="240" w:line="324" w:lineRule="auto"/>
        <w:ind w:firstLine="374"/>
        <w:jc w:val="both"/>
        <w:rPr>
          <w:rFonts w:ascii="Verdana" w:hAnsi="Verdana"/>
          <w:color w:val="000000"/>
        </w:rPr>
      </w:pPr>
    </w:p>
    <w:p w:rsidR="00763A39" w:rsidRDefault="00763A39" w:rsidP="00763A39">
      <w:pPr>
        <w:spacing w:before="280" w:after="240" w:line="324" w:lineRule="auto"/>
        <w:ind w:firstLine="374"/>
        <w:jc w:val="both"/>
        <w:rPr>
          <w:rFonts w:ascii="Verdana" w:hAnsi="Verdana"/>
          <w:color w:val="000000"/>
        </w:rPr>
      </w:pPr>
    </w:p>
    <w:p w:rsidR="00763A39" w:rsidRDefault="00763A39" w:rsidP="00763A39">
      <w:pPr>
        <w:spacing w:before="280" w:after="240" w:line="324" w:lineRule="auto"/>
        <w:ind w:firstLine="374"/>
        <w:jc w:val="both"/>
        <w:rPr>
          <w:rFonts w:ascii="Verdana" w:hAnsi="Verdana"/>
          <w:color w:val="000000"/>
        </w:rPr>
      </w:pPr>
    </w:p>
    <w:p w:rsidR="00763A39" w:rsidRDefault="00763A39" w:rsidP="00763A39">
      <w:pPr>
        <w:spacing w:before="280" w:after="240" w:line="324" w:lineRule="auto"/>
        <w:ind w:firstLine="374"/>
        <w:jc w:val="both"/>
        <w:rPr>
          <w:rFonts w:ascii="Verdana" w:hAnsi="Verdana"/>
          <w:color w:val="000000"/>
        </w:rPr>
      </w:pPr>
    </w:p>
    <w:p w:rsidR="00763A39" w:rsidRDefault="00763A39" w:rsidP="00763A39">
      <w:pPr>
        <w:spacing w:before="280" w:after="240" w:line="324" w:lineRule="auto"/>
        <w:ind w:firstLine="374"/>
        <w:jc w:val="both"/>
        <w:rPr>
          <w:rFonts w:ascii="Verdana" w:hAnsi="Verdana"/>
          <w:color w:val="000000"/>
        </w:rPr>
      </w:pPr>
    </w:p>
    <w:p w:rsidR="00763A39" w:rsidRDefault="00763A39" w:rsidP="00763A39">
      <w:pPr>
        <w:spacing w:before="280" w:after="240" w:line="324" w:lineRule="auto"/>
        <w:ind w:firstLine="374"/>
        <w:jc w:val="both"/>
        <w:rPr>
          <w:rFonts w:ascii="Verdana" w:hAnsi="Verdana"/>
          <w:color w:val="000000"/>
        </w:rPr>
      </w:pPr>
    </w:p>
    <w:p w:rsidR="00763A39" w:rsidRDefault="00763A39" w:rsidP="00763A39">
      <w:pPr>
        <w:spacing w:before="280" w:after="240" w:line="324" w:lineRule="auto"/>
        <w:ind w:firstLine="374"/>
        <w:jc w:val="both"/>
        <w:rPr>
          <w:sz w:val="28"/>
          <w:szCs w:val="28"/>
        </w:rPr>
      </w:pPr>
    </w:p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D8"/>
    <w:rsid w:val="00043CD7"/>
    <w:rsid w:val="000B5972"/>
    <w:rsid w:val="000D535D"/>
    <w:rsid w:val="000F1967"/>
    <w:rsid w:val="00181352"/>
    <w:rsid w:val="00197368"/>
    <w:rsid w:val="00230AFB"/>
    <w:rsid w:val="00437DA4"/>
    <w:rsid w:val="004E414D"/>
    <w:rsid w:val="0069275D"/>
    <w:rsid w:val="00763A39"/>
    <w:rsid w:val="0081389A"/>
    <w:rsid w:val="008F4B19"/>
    <w:rsid w:val="00981303"/>
    <w:rsid w:val="00A855A9"/>
    <w:rsid w:val="00B9171A"/>
    <w:rsid w:val="00B96B4D"/>
    <w:rsid w:val="00C979BE"/>
    <w:rsid w:val="00D2363E"/>
    <w:rsid w:val="00E06A3E"/>
    <w:rsid w:val="00F6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B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B1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B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B1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2014-04-17T04:08:00Z</cp:lastPrinted>
  <dcterms:created xsi:type="dcterms:W3CDTF">2014-04-16T11:27:00Z</dcterms:created>
  <dcterms:modified xsi:type="dcterms:W3CDTF">2014-04-17T04:31:00Z</dcterms:modified>
</cp:coreProperties>
</file>