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151BE8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AB7A85">
        <w:rPr>
          <w:rFonts w:ascii="Times New Roman" w:hAnsi="Times New Roman" w:cs="Times New Roman"/>
          <w:sz w:val="28"/>
          <w:szCs w:val="28"/>
        </w:rPr>
        <w:t xml:space="preserve">  </w:t>
      </w:r>
      <w:r w:rsidR="0017118B">
        <w:rPr>
          <w:rFonts w:ascii="Times New Roman" w:hAnsi="Times New Roman" w:cs="Times New Roman"/>
          <w:sz w:val="28"/>
          <w:szCs w:val="28"/>
        </w:rPr>
        <w:t>10</w:t>
      </w:r>
      <w:r w:rsidR="00AB7A85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B007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17118B">
        <w:rPr>
          <w:rFonts w:ascii="Times New Roman" w:hAnsi="Times New Roman" w:cs="Times New Roman"/>
          <w:sz w:val="28"/>
          <w:szCs w:val="28"/>
        </w:rPr>
        <w:t xml:space="preserve"> 349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 xml:space="preserve">Рассмотрев заявление </w:t>
      </w:r>
      <w:r w:rsidR="00FB007D">
        <w:rPr>
          <w:rFonts w:ascii="Times New Roman" w:hAnsi="Times New Roman"/>
          <w:sz w:val="26"/>
          <w:szCs w:val="26"/>
        </w:rPr>
        <w:t>начальника сейсморазведочной партии с/</w:t>
      </w:r>
      <w:proofErr w:type="spellStart"/>
      <w:proofErr w:type="gramStart"/>
      <w:r w:rsidR="00FB007D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FB007D">
        <w:rPr>
          <w:rFonts w:ascii="Times New Roman" w:hAnsi="Times New Roman"/>
          <w:sz w:val="26"/>
          <w:szCs w:val="26"/>
        </w:rPr>
        <w:t xml:space="preserve"> № 16 ООО «</w:t>
      </w:r>
      <w:proofErr w:type="spellStart"/>
      <w:r w:rsidR="00FB007D">
        <w:rPr>
          <w:rFonts w:ascii="Times New Roman" w:hAnsi="Times New Roman"/>
          <w:sz w:val="26"/>
          <w:szCs w:val="26"/>
        </w:rPr>
        <w:t>ТНГ-Геосейс</w:t>
      </w:r>
      <w:proofErr w:type="spellEnd"/>
      <w:r w:rsidR="00FB007D">
        <w:rPr>
          <w:rFonts w:ascii="Times New Roman" w:hAnsi="Times New Roman"/>
          <w:sz w:val="26"/>
          <w:szCs w:val="26"/>
        </w:rPr>
        <w:t>»</w:t>
      </w:r>
      <w:r w:rsidR="00F85C81" w:rsidRPr="00F61AE5">
        <w:rPr>
          <w:rFonts w:ascii="Times New Roman" w:hAnsi="Times New Roman"/>
          <w:sz w:val="26"/>
          <w:szCs w:val="26"/>
        </w:rPr>
        <w:t xml:space="preserve"> </w:t>
      </w:r>
      <w:r w:rsidR="001473D2">
        <w:rPr>
          <w:rFonts w:ascii="Times New Roman" w:hAnsi="Times New Roman"/>
          <w:sz w:val="26"/>
          <w:szCs w:val="26"/>
        </w:rPr>
        <w:t xml:space="preserve">Ганиева </w:t>
      </w:r>
      <w:proofErr w:type="spellStart"/>
      <w:r w:rsidR="001473D2">
        <w:rPr>
          <w:rFonts w:ascii="Times New Roman" w:hAnsi="Times New Roman"/>
          <w:sz w:val="26"/>
          <w:szCs w:val="26"/>
        </w:rPr>
        <w:t>Мудалифа</w:t>
      </w:r>
      <w:proofErr w:type="spellEnd"/>
      <w:r w:rsidR="00147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3D2">
        <w:rPr>
          <w:rFonts w:ascii="Times New Roman" w:hAnsi="Times New Roman"/>
          <w:sz w:val="26"/>
          <w:szCs w:val="26"/>
        </w:rPr>
        <w:t>Гильмегалиевича</w:t>
      </w:r>
      <w:proofErr w:type="spellEnd"/>
      <w:r w:rsidR="001473D2">
        <w:rPr>
          <w:rFonts w:ascii="Times New Roman" w:hAnsi="Times New Roman"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>от</w:t>
      </w:r>
      <w:r w:rsidR="0017118B">
        <w:rPr>
          <w:rFonts w:ascii="Times New Roman" w:hAnsi="Times New Roman"/>
          <w:sz w:val="26"/>
          <w:szCs w:val="26"/>
        </w:rPr>
        <w:t xml:space="preserve"> 10</w:t>
      </w:r>
      <w:r w:rsidR="00FB007D" w:rsidRPr="0017118B">
        <w:rPr>
          <w:rFonts w:ascii="Times New Roman" w:hAnsi="Times New Roman"/>
          <w:color w:val="000000" w:themeColor="text1"/>
          <w:sz w:val="26"/>
          <w:szCs w:val="26"/>
        </w:rPr>
        <w:t>.05</w:t>
      </w:r>
      <w:r w:rsidR="00F85C81" w:rsidRPr="0017118B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="00FB007D" w:rsidRPr="0017118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F85C81" w:rsidRPr="0017118B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17118B">
        <w:rPr>
          <w:rFonts w:ascii="Times New Roman" w:hAnsi="Times New Roman"/>
          <w:sz w:val="26"/>
          <w:szCs w:val="26"/>
        </w:rPr>
        <w:t>1010</w:t>
      </w:r>
      <w:r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473D2" w:rsidRPr="001473D2">
        <w:rPr>
          <w:rFonts w:ascii="Times New Roman" w:hAnsi="Times New Roman"/>
          <w:sz w:val="26"/>
          <w:szCs w:val="26"/>
        </w:rPr>
        <w:t xml:space="preserve">действующего на основании доверенности  № 12-ю в интересах  ООО «ТНГ - </w:t>
      </w:r>
      <w:proofErr w:type="spellStart"/>
      <w:r w:rsidR="001473D2">
        <w:rPr>
          <w:rFonts w:ascii="Times New Roman" w:hAnsi="Times New Roman"/>
          <w:sz w:val="26"/>
          <w:szCs w:val="26"/>
        </w:rPr>
        <w:t>Г</w:t>
      </w:r>
      <w:r w:rsidR="001473D2" w:rsidRPr="001473D2">
        <w:rPr>
          <w:rFonts w:ascii="Times New Roman" w:hAnsi="Times New Roman"/>
          <w:sz w:val="26"/>
          <w:szCs w:val="26"/>
        </w:rPr>
        <w:t>еосейс</w:t>
      </w:r>
      <w:proofErr w:type="spellEnd"/>
      <w:r w:rsidR="001473D2" w:rsidRPr="001473D2">
        <w:rPr>
          <w:rFonts w:ascii="Times New Roman" w:hAnsi="Times New Roman"/>
          <w:sz w:val="26"/>
          <w:szCs w:val="26"/>
        </w:rPr>
        <w:t>»</w:t>
      </w:r>
      <w:r w:rsidR="001473D2">
        <w:rPr>
          <w:rFonts w:ascii="Times New Roman" w:hAnsi="Times New Roman"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в соответствии с подпунктом </w:t>
      </w:r>
      <w:r w:rsidR="001A353B">
        <w:rPr>
          <w:rFonts w:ascii="Times New Roman" w:hAnsi="Times New Roman"/>
          <w:sz w:val="26"/>
          <w:szCs w:val="26"/>
        </w:rPr>
        <w:t>4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</w:t>
      </w:r>
      <w:proofErr w:type="gramStart"/>
      <w:r w:rsidRPr="00F61AE5">
        <w:rPr>
          <w:rFonts w:ascii="Times New Roman" w:hAnsi="Times New Roman"/>
          <w:sz w:val="26"/>
          <w:szCs w:val="26"/>
        </w:rPr>
        <w:t xml:space="preserve">Земельного кодекса Российской Федерации,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</w:t>
      </w:r>
      <w:r w:rsidR="00FB007D" w:rsidRPr="00F61AE5">
        <w:rPr>
          <w:rFonts w:ascii="Times New Roman" w:hAnsi="Times New Roman"/>
          <w:sz w:val="26"/>
          <w:szCs w:val="26"/>
        </w:rPr>
        <w:t xml:space="preserve">Административным регламентом </w:t>
      </w:r>
      <w:r w:rsidR="00FB007D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B007D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B007D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B007D">
        <w:rPr>
          <w:rFonts w:ascii="Times New Roman" w:hAnsi="Times New Roman"/>
          <w:sz w:val="26"/>
          <w:szCs w:val="26"/>
        </w:rPr>
        <w:t>муниципальной</w:t>
      </w:r>
      <w:r w:rsidR="00FB007D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</w:t>
      </w:r>
      <w:r w:rsidR="00FB007D">
        <w:rPr>
          <w:rFonts w:ascii="Times New Roman" w:hAnsi="Times New Roman"/>
          <w:sz w:val="26"/>
          <w:szCs w:val="26"/>
        </w:rPr>
        <w:t xml:space="preserve">» утвержденный постановлением Администрации муниципального района </w:t>
      </w:r>
      <w:proofErr w:type="spellStart"/>
      <w:r w:rsidR="00FB007D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B007D">
        <w:rPr>
          <w:rFonts w:ascii="Times New Roman" w:hAnsi="Times New Roman"/>
          <w:sz w:val="26"/>
          <w:szCs w:val="26"/>
        </w:rPr>
        <w:t xml:space="preserve"> Самарской</w:t>
      </w:r>
      <w:proofErr w:type="gramEnd"/>
      <w:r w:rsidR="00FB007D">
        <w:rPr>
          <w:rFonts w:ascii="Times New Roman" w:hAnsi="Times New Roman"/>
          <w:sz w:val="26"/>
          <w:szCs w:val="26"/>
        </w:rPr>
        <w:t xml:space="preserve"> области от 22.02.2017г. № 140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B007D">
        <w:rPr>
          <w:rFonts w:ascii="Times New Roman" w:hAnsi="Times New Roman"/>
          <w:sz w:val="26"/>
          <w:szCs w:val="26"/>
        </w:rPr>
        <w:t>ООО «</w:t>
      </w:r>
      <w:proofErr w:type="spellStart"/>
      <w:r w:rsidR="00FB007D">
        <w:rPr>
          <w:rFonts w:ascii="Times New Roman" w:hAnsi="Times New Roman"/>
          <w:sz w:val="26"/>
          <w:szCs w:val="26"/>
        </w:rPr>
        <w:t>ТНГ-Геосейс</w:t>
      </w:r>
      <w:proofErr w:type="spellEnd"/>
      <w:r w:rsidR="00FB007D">
        <w:rPr>
          <w:rFonts w:ascii="Times New Roman" w:hAnsi="Times New Roman"/>
          <w:sz w:val="26"/>
          <w:szCs w:val="26"/>
        </w:rPr>
        <w:t>»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F61AE5">
        <w:rPr>
          <w:rFonts w:ascii="Times New Roman" w:hAnsi="Times New Roman"/>
          <w:sz w:val="26"/>
          <w:szCs w:val="26"/>
        </w:rPr>
        <w:t>имеюще</w:t>
      </w:r>
      <w:r w:rsidR="001473D2">
        <w:rPr>
          <w:rFonts w:ascii="Times New Roman" w:hAnsi="Times New Roman"/>
          <w:sz w:val="26"/>
          <w:szCs w:val="26"/>
        </w:rPr>
        <w:t>й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</w:t>
      </w:r>
      <w:r w:rsidR="001473D2">
        <w:rPr>
          <w:rFonts w:ascii="Times New Roman" w:hAnsi="Times New Roman"/>
          <w:sz w:val="26"/>
          <w:szCs w:val="26"/>
        </w:rPr>
        <w:t>23236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1473D2">
        <w:rPr>
          <w:rFonts w:ascii="Times New Roman" w:hAnsi="Times New Roman"/>
          <w:sz w:val="26"/>
          <w:szCs w:val="26"/>
        </w:rPr>
        <w:t>Бугульма</w:t>
      </w:r>
      <w:r w:rsidR="0032242E">
        <w:rPr>
          <w:rFonts w:ascii="Times New Roman" w:hAnsi="Times New Roman"/>
          <w:sz w:val="26"/>
          <w:szCs w:val="26"/>
        </w:rPr>
        <w:t xml:space="preserve">, ул. </w:t>
      </w:r>
      <w:r w:rsidR="001473D2">
        <w:rPr>
          <w:rFonts w:ascii="Times New Roman" w:hAnsi="Times New Roman"/>
          <w:sz w:val="26"/>
          <w:szCs w:val="26"/>
        </w:rPr>
        <w:t>Ворошилова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д. 21,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</w:t>
      </w:r>
      <w:r w:rsidR="001473D2">
        <w:rPr>
          <w:rFonts w:ascii="Times New Roman" w:hAnsi="Times New Roman"/>
          <w:sz w:val="26"/>
          <w:szCs w:val="26"/>
        </w:rPr>
        <w:t>51689000439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1473D2">
        <w:rPr>
          <w:rFonts w:ascii="Times New Roman" w:hAnsi="Times New Roman"/>
          <w:sz w:val="26"/>
          <w:szCs w:val="26"/>
        </w:rPr>
        <w:t>1645019397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</w:t>
      </w:r>
      <w:r w:rsidR="001473D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            В.В. Туркин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(846-66) 2-27-40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Исп. Сальников А. Н.</w:t>
      </w:r>
    </w:p>
    <w:p w:rsidR="00806B21" w:rsidRPr="008E6676" w:rsidRDefault="00806B21" w:rsidP="00F22F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F22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</w:p>
    <w:p w:rsidR="00806B21" w:rsidRPr="008E6676" w:rsidRDefault="00806B21" w:rsidP="00F22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F22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F22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F22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F22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F22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F22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Pr="0017118B" w:rsidRDefault="00806B21" w:rsidP="00F22FB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7118B">
        <w:rPr>
          <w:rFonts w:ascii="Times New Roman" w:hAnsi="Times New Roman"/>
          <w:color w:val="000000" w:themeColor="text1"/>
          <w:sz w:val="20"/>
          <w:szCs w:val="20"/>
        </w:rPr>
        <w:t>от</w:t>
      </w:r>
      <w:r w:rsidR="0017118B" w:rsidRPr="0017118B">
        <w:rPr>
          <w:rFonts w:ascii="Times New Roman" w:hAnsi="Times New Roman"/>
          <w:color w:val="000000" w:themeColor="text1"/>
          <w:sz w:val="20"/>
          <w:szCs w:val="20"/>
        </w:rPr>
        <w:t xml:space="preserve"> 10</w:t>
      </w:r>
      <w:r w:rsidR="00151BE8" w:rsidRPr="0017118B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1473D2" w:rsidRPr="0017118B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151BE8" w:rsidRPr="0017118B">
        <w:rPr>
          <w:rFonts w:ascii="Times New Roman" w:hAnsi="Times New Roman"/>
          <w:color w:val="000000" w:themeColor="text1"/>
          <w:sz w:val="20"/>
          <w:szCs w:val="20"/>
        </w:rPr>
        <w:t>.201</w:t>
      </w:r>
      <w:r w:rsidR="001473D2" w:rsidRPr="0017118B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151BE8" w:rsidRPr="0017118B">
        <w:rPr>
          <w:rFonts w:ascii="Times New Roman" w:hAnsi="Times New Roman"/>
          <w:color w:val="000000" w:themeColor="text1"/>
          <w:sz w:val="20"/>
          <w:szCs w:val="20"/>
        </w:rPr>
        <w:t>г.</w:t>
      </w:r>
      <w:r w:rsidRPr="0017118B">
        <w:rPr>
          <w:rFonts w:ascii="Times New Roman" w:hAnsi="Times New Roman"/>
          <w:color w:val="000000" w:themeColor="text1"/>
          <w:sz w:val="20"/>
          <w:szCs w:val="20"/>
        </w:rPr>
        <w:t xml:space="preserve"> №</w:t>
      </w:r>
      <w:r w:rsidR="0017118B" w:rsidRPr="0017118B">
        <w:rPr>
          <w:rFonts w:ascii="Times New Roman" w:hAnsi="Times New Roman"/>
          <w:color w:val="000000" w:themeColor="text1"/>
          <w:sz w:val="20"/>
          <w:szCs w:val="20"/>
        </w:rPr>
        <w:t>349</w:t>
      </w:r>
      <w:r w:rsidRPr="0017118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Pr="006F3E0A">
        <w:rPr>
          <w:sz w:val="26"/>
          <w:szCs w:val="26"/>
          <w:u w:val="single"/>
        </w:rPr>
        <w:t xml:space="preserve"> </w:t>
      </w:r>
      <w:r w:rsidR="001473D2">
        <w:rPr>
          <w:sz w:val="26"/>
          <w:szCs w:val="26"/>
          <w:u w:val="single"/>
        </w:rPr>
        <w:t xml:space="preserve"> ООО</w:t>
      </w:r>
      <w:proofErr w:type="gramStart"/>
      <w:r w:rsidR="001473D2" w:rsidRPr="001473D2">
        <w:rPr>
          <w:sz w:val="26"/>
          <w:szCs w:val="26"/>
          <w:u w:val="single"/>
        </w:rPr>
        <w:t>«Т</w:t>
      </w:r>
      <w:proofErr w:type="gramEnd"/>
      <w:r w:rsidR="001473D2" w:rsidRPr="001473D2">
        <w:rPr>
          <w:sz w:val="26"/>
          <w:szCs w:val="26"/>
          <w:u w:val="single"/>
        </w:rPr>
        <w:t xml:space="preserve">НГ - </w:t>
      </w:r>
      <w:proofErr w:type="spellStart"/>
      <w:r w:rsidR="001473D2" w:rsidRPr="001473D2">
        <w:rPr>
          <w:sz w:val="26"/>
          <w:szCs w:val="26"/>
          <w:u w:val="single"/>
        </w:rPr>
        <w:t>Геосейс</w:t>
      </w:r>
      <w:proofErr w:type="spellEnd"/>
      <w:r w:rsidR="001473D2" w:rsidRPr="001473D2">
        <w:rPr>
          <w:sz w:val="26"/>
          <w:szCs w:val="26"/>
          <w:u w:val="single"/>
        </w:rPr>
        <w:t>»</w:t>
      </w:r>
    </w:p>
    <w:p w:rsidR="001473D2" w:rsidRDefault="00F61AE5" w:rsidP="001473D2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 xml:space="preserve">Российская Федерация, </w:t>
      </w:r>
      <w:r w:rsidR="001473D2" w:rsidRPr="001473D2">
        <w:rPr>
          <w:rFonts w:ascii="Times New Roman" w:hAnsi="Times New Roman"/>
          <w:sz w:val="26"/>
          <w:szCs w:val="26"/>
          <w:u w:val="single"/>
        </w:rPr>
        <w:t>423236,</w:t>
      </w:r>
    </w:p>
    <w:p w:rsidR="001473D2" w:rsidRDefault="001473D2" w:rsidP="001473D2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1473D2">
        <w:rPr>
          <w:rFonts w:ascii="Times New Roman" w:hAnsi="Times New Roman"/>
          <w:sz w:val="26"/>
          <w:szCs w:val="26"/>
          <w:u w:val="single"/>
        </w:rPr>
        <w:t xml:space="preserve"> г. Бугульма, ул. Ворошилова, д. 21</w:t>
      </w:r>
    </w:p>
    <w:p w:rsidR="00806B21" w:rsidRPr="00F22FB5" w:rsidRDefault="00806B21" w:rsidP="001473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22FB5">
        <w:rPr>
          <w:rFonts w:ascii="Times New Roman" w:hAnsi="Times New Roman" w:cs="Times New Roman"/>
          <w:sz w:val="16"/>
          <w:szCs w:val="16"/>
        </w:rPr>
        <w:t>наименование и почтовый адрес</w:t>
      </w:r>
    </w:p>
    <w:p w:rsidR="00806B21" w:rsidRPr="00F22FB5" w:rsidRDefault="00806B21" w:rsidP="00F61AE5">
      <w:pPr>
        <w:pStyle w:val="ConsPlusNonformat"/>
        <w:jc w:val="right"/>
        <w:rPr>
          <w:sz w:val="16"/>
          <w:szCs w:val="16"/>
        </w:rPr>
      </w:pPr>
      <w:r w:rsidRPr="00F22FB5">
        <w:rPr>
          <w:sz w:val="16"/>
          <w:szCs w:val="16"/>
        </w:rPr>
        <w:t>получателя государственной услуги</w:t>
      </w:r>
    </w:p>
    <w:p w:rsidR="00806B21" w:rsidRPr="00F22FB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22FB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F22FB5" w:rsidRDefault="00806B21" w:rsidP="008E667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17118B" w:rsidRPr="0017118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F61AE5" w:rsidRPr="0017118B">
        <w:rPr>
          <w:rFonts w:ascii="Times New Roman" w:hAnsi="Times New Roman"/>
          <w:color w:val="000000" w:themeColor="text1"/>
          <w:sz w:val="26"/>
          <w:szCs w:val="26"/>
        </w:rPr>
        <w:t>-201</w:t>
      </w:r>
      <w:r w:rsidR="00F22FB5" w:rsidRPr="0017118B">
        <w:rPr>
          <w:rFonts w:ascii="Times New Roman" w:hAnsi="Times New Roman"/>
          <w:color w:val="000000" w:themeColor="text1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Style w:val="a7"/>
        <w:tblW w:w="0" w:type="auto"/>
        <w:tblLook w:val="04A0"/>
      </w:tblPr>
      <w:tblGrid>
        <w:gridCol w:w="1028"/>
        <w:gridCol w:w="1451"/>
        <w:gridCol w:w="1451"/>
      </w:tblGrid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У</w:t>
            </w:r>
          </w:p>
        </w:tc>
      </w:tr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1 точка</w:t>
            </w:r>
          </w:p>
        </w:tc>
        <w:tc>
          <w:tcPr>
            <w:tcW w:w="0" w:type="auto"/>
          </w:tcPr>
          <w:p w:rsidR="006F3E0A" w:rsidRPr="0017118B" w:rsidRDefault="0017118B" w:rsidP="0017118B">
            <w:pPr>
              <w:pStyle w:val="ConsPlusNonformat"/>
              <w:jc w:val="both"/>
              <w:rPr>
                <w:color w:val="000000" w:themeColor="text1"/>
                <w:sz w:val="26"/>
                <w:szCs w:val="26"/>
              </w:rPr>
            </w:pPr>
            <w:r w:rsidRPr="0017118B">
              <w:rPr>
                <w:color w:val="000000" w:themeColor="text1"/>
                <w:sz w:val="26"/>
                <w:szCs w:val="26"/>
              </w:rPr>
              <w:t>5893426.00</w:t>
            </w:r>
          </w:p>
        </w:tc>
        <w:tc>
          <w:tcPr>
            <w:tcW w:w="0" w:type="auto"/>
          </w:tcPr>
          <w:p w:rsidR="006F3E0A" w:rsidRPr="0017118B" w:rsidRDefault="0017118B" w:rsidP="008E6676">
            <w:pPr>
              <w:pStyle w:val="ConsPlusNonformat"/>
              <w:jc w:val="both"/>
              <w:rPr>
                <w:color w:val="000000" w:themeColor="text1"/>
                <w:sz w:val="26"/>
                <w:szCs w:val="26"/>
              </w:rPr>
            </w:pPr>
            <w:r w:rsidRPr="0017118B">
              <w:rPr>
                <w:color w:val="000000" w:themeColor="text1"/>
                <w:sz w:val="26"/>
                <w:szCs w:val="26"/>
              </w:rPr>
              <w:t>9527461.00</w:t>
            </w:r>
          </w:p>
        </w:tc>
      </w:tr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 точка</w:t>
            </w:r>
          </w:p>
        </w:tc>
        <w:tc>
          <w:tcPr>
            <w:tcW w:w="0" w:type="auto"/>
          </w:tcPr>
          <w:p w:rsidR="006F3E0A" w:rsidRPr="0017118B" w:rsidRDefault="0017118B" w:rsidP="008E6676">
            <w:pPr>
              <w:pStyle w:val="ConsPlusNonformat"/>
              <w:jc w:val="both"/>
              <w:rPr>
                <w:color w:val="000000" w:themeColor="text1"/>
                <w:sz w:val="26"/>
                <w:szCs w:val="26"/>
              </w:rPr>
            </w:pPr>
            <w:r w:rsidRPr="0017118B">
              <w:rPr>
                <w:color w:val="000000" w:themeColor="text1"/>
                <w:sz w:val="26"/>
                <w:szCs w:val="26"/>
              </w:rPr>
              <w:t>5893561.00</w:t>
            </w:r>
          </w:p>
        </w:tc>
        <w:tc>
          <w:tcPr>
            <w:tcW w:w="0" w:type="auto"/>
          </w:tcPr>
          <w:p w:rsidR="006F3E0A" w:rsidRPr="0017118B" w:rsidRDefault="0017118B" w:rsidP="008E6676">
            <w:pPr>
              <w:pStyle w:val="ConsPlusNonformat"/>
              <w:jc w:val="both"/>
              <w:rPr>
                <w:color w:val="000000" w:themeColor="text1"/>
                <w:sz w:val="26"/>
                <w:szCs w:val="26"/>
              </w:rPr>
            </w:pPr>
            <w:r w:rsidRPr="0017118B">
              <w:rPr>
                <w:color w:val="000000" w:themeColor="text1"/>
                <w:sz w:val="26"/>
                <w:szCs w:val="26"/>
              </w:rPr>
              <w:t>9527568.00</w:t>
            </w:r>
          </w:p>
        </w:tc>
      </w:tr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3 точка</w:t>
            </w:r>
          </w:p>
        </w:tc>
        <w:tc>
          <w:tcPr>
            <w:tcW w:w="0" w:type="auto"/>
          </w:tcPr>
          <w:p w:rsidR="006F3E0A" w:rsidRPr="0017118B" w:rsidRDefault="0017118B" w:rsidP="008E6676">
            <w:pPr>
              <w:pStyle w:val="ConsPlusNonformat"/>
              <w:jc w:val="both"/>
              <w:rPr>
                <w:color w:val="000000" w:themeColor="text1"/>
                <w:sz w:val="26"/>
                <w:szCs w:val="26"/>
              </w:rPr>
            </w:pPr>
            <w:r w:rsidRPr="0017118B">
              <w:rPr>
                <w:color w:val="000000" w:themeColor="text1"/>
                <w:sz w:val="26"/>
                <w:szCs w:val="26"/>
              </w:rPr>
              <w:t>5893468.00</w:t>
            </w:r>
          </w:p>
        </w:tc>
        <w:tc>
          <w:tcPr>
            <w:tcW w:w="0" w:type="auto"/>
          </w:tcPr>
          <w:p w:rsidR="006F3E0A" w:rsidRPr="0017118B" w:rsidRDefault="0017118B" w:rsidP="008E6676">
            <w:pPr>
              <w:pStyle w:val="ConsPlusNonformat"/>
              <w:jc w:val="both"/>
              <w:rPr>
                <w:color w:val="000000" w:themeColor="text1"/>
                <w:sz w:val="26"/>
                <w:szCs w:val="26"/>
              </w:rPr>
            </w:pPr>
            <w:r w:rsidRPr="0017118B">
              <w:rPr>
                <w:color w:val="000000" w:themeColor="text1"/>
                <w:sz w:val="26"/>
                <w:szCs w:val="26"/>
              </w:rPr>
              <w:t>9527613.00</w:t>
            </w:r>
          </w:p>
        </w:tc>
      </w:tr>
      <w:tr w:rsidR="006F3E0A" w:rsidRPr="002C01E5" w:rsidTr="006F3E0A">
        <w:tc>
          <w:tcPr>
            <w:tcW w:w="0" w:type="auto"/>
          </w:tcPr>
          <w:p w:rsidR="006F3E0A" w:rsidRPr="002C01E5" w:rsidRDefault="006F3E0A" w:rsidP="008E667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4 точка</w:t>
            </w:r>
          </w:p>
        </w:tc>
        <w:tc>
          <w:tcPr>
            <w:tcW w:w="0" w:type="auto"/>
          </w:tcPr>
          <w:p w:rsidR="006F3E0A" w:rsidRPr="0017118B" w:rsidRDefault="0017118B" w:rsidP="008E6676">
            <w:pPr>
              <w:pStyle w:val="ConsPlusNonformat"/>
              <w:jc w:val="both"/>
              <w:rPr>
                <w:color w:val="000000" w:themeColor="text1"/>
                <w:sz w:val="26"/>
                <w:szCs w:val="26"/>
              </w:rPr>
            </w:pPr>
            <w:r w:rsidRPr="0017118B">
              <w:rPr>
                <w:color w:val="000000" w:themeColor="text1"/>
                <w:sz w:val="26"/>
                <w:szCs w:val="26"/>
              </w:rPr>
              <w:t>5893522.00</w:t>
            </w:r>
          </w:p>
        </w:tc>
        <w:tc>
          <w:tcPr>
            <w:tcW w:w="0" w:type="auto"/>
          </w:tcPr>
          <w:p w:rsidR="006F3E0A" w:rsidRPr="0017118B" w:rsidRDefault="0017118B" w:rsidP="008E6676">
            <w:pPr>
              <w:pStyle w:val="ConsPlusNonformat"/>
              <w:jc w:val="both"/>
              <w:rPr>
                <w:color w:val="000000" w:themeColor="text1"/>
                <w:sz w:val="26"/>
                <w:szCs w:val="26"/>
              </w:rPr>
            </w:pPr>
            <w:r w:rsidRPr="0017118B">
              <w:rPr>
                <w:color w:val="000000" w:themeColor="text1"/>
                <w:sz w:val="26"/>
                <w:szCs w:val="26"/>
              </w:rPr>
              <w:t>9527426.00</w:t>
            </w:r>
          </w:p>
        </w:tc>
      </w:tr>
    </w:tbl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 государственная собственность на </w:t>
      </w:r>
      <w:proofErr w:type="gramStart"/>
      <w:r w:rsidRPr="002C01E5">
        <w:rPr>
          <w:sz w:val="26"/>
          <w:szCs w:val="26"/>
        </w:rPr>
        <w:t>который</w:t>
      </w:r>
      <w:proofErr w:type="gramEnd"/>
      <w:r w:rsidRPr="002C01E5">
        <w:rPr>
          <w:sz w:val="26"/>
          <w:szCs w:val="26"/>
        </w:rPr>
        <w:t xml:space="preserve"> (которые) не разграничена, без предоставления земельного участка и установления сервитута</w:t>
      </w:r>
    </w:p>
    <w:p w:rsidR="00806B21" w:rsidRPr="002C01E5" w:rsidRDefault="008E6676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для </w:t>
      </w:r>
      <w:r w:rsidR="006F3E0A" w:rsidRPr="002C01E5">
        <w:rPr>
          <w:sz w:val="26"/>
          <w:szCs w:val="26"/>
          <w:u w:val="single"/>
        </w:rPr>
        <w:t>осуществления геологического изучения недр</w:t>
      </w:r>
      <w:r w:rsidR="002C01E5">
        <w:rPr>
          <w:sz w:val="26"/>
          <w:szCs w:val="26"/>
          <w:u w:val="single"/>
        </w:rPr>
        <w:t xml:space="preserve">, размещение объектов, предназначенных для обеспечения пользования недрами, для размещения которых не требуется разрешение на строительство: вагоны-дома, </w:t>
      </w:r>
      <w:proofErr w:type="spellStart"/>
      <w:r w:rsidR="002C01E5">
        <w:rPr>
          <w:sz w:val="26"/>
          <w:szCs w:val="26"/>
          <w:u w:val="single"/>
        </w:rPr>
        <w:t>автотехника</w:t>
      </w:r>
      <w:proofErr w:type="spellEnd"/>
      <w:r w:rsidR="002C01E5">
        <w:rPr>
          <w:sz w:val="26"/>
          <w:szCs w:val="26"/>
          <w:u w:val="single"/>
        </w:rPr>
        <w:t>, иные объекты не влекущие создание объектов капитального строительства</w:t>
      </w:r>
      <w:r w:rsidR="006F3E0A" w:rsidRPr="002C01E5">
        <w:rPr>
          <w:sz w:val="26"/>
          <w:szCs w:val="26"/>
          <w:u w:val="single"/>
        </w:rPr>
        <w:t xml:space="preserve"> на территории </w:t>
      </w:r>
      <w:proofErr w:type="spellStart"/>
      <w:r w:rsidR="006F3E0A" w:rsidRPr="002C01E5">
        <w:rPr>
          <w:sz w:val="26"/>
          <w:szCs w:val="26"/>
          <w:u w:val="single"/>
        </w:rPr>
        <w:t>Богатовского</w:t>
      </w:r>
      <w:proofErr w:type="spellEnd"/>
      <w:r w:rsidR="006F3E0A" w:rsidRPr="002C01E5">
        <w:rPr>
          <w:sz w:val="26"/>
          <w:szCs w:val="26"/>
          <w:u w:val="single"/>
        </w:rPr>
        <w:t xml:space="preserve"> района Самарской области</w:t>
      </w:r>
      <w:proofErr w:type="gramStart"/>
      <w:r w:rsidR="006F3E0A" w:rsidRPr="002C01E5">
        <w:rPr>
          <w:sz w:val="26"/>
          <w:szCs w:val="26"/>
          <w:u w:val="single"/>
        </w:rPr>
        <w:t xml:space="preserve"> </w:t>
      </w:r>
      <w:r w:rsidRPr="002C01E5">
        <w:rPr>
          <w:sz w:val="26"/>
          <w:szCs w:val="26"/>
          <w:u w:val="single"/>
        </w:rPr>
        <w:t>.</w:t>
      </w:r>
      <w:proofErr w:type="gramEnd"/>
      <w:r w:rsidR="00806B21"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с </w:t>
      </w:r>
      <w:r w:rsidR="00F22FB5">
        <w:rPr>
          <w:sz w:val="26"/>
          <w:szCs w:val="26"/>
          <w:u w:val="single"/>
        </w:rPr>
        <w:t>10</w:t>
      </w:r>
      <w:r w:rsidR="006F3E0A" w:rsidRPr="002C01E5">
        <w:rPr>
          <w:sz w:val="26"/>
          <w:szCs w:val="26"/>
          <w:u w:val="single"/>
        </w:rPr>
        <w:t>.05.201</w:t>
      </w:r>
      <w:r w:rsidR="00F22FB5">
        <w:rPr>
          <w:sz w:val="26"/>
          <w:szCs w:val="26"/>
          <w:u w:val="single"/>
        </w:rPr>
        <w:t xml:space="preserve">7 </w:t>
      </w:r>
      <w:r w:rsidR="006F3E0A" w:rsidRPr="002C01E5">
        <w:rPr>
          <w:sz w:val="26"/>
          <w:szCs w:val="26"/>
          <w:u w:val="single"/>
        </w:rPr>
        <w:t>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17118B">
        <w:rPr>
          <w:sz w:val="26"/>
          <w:szCs w:val="26"/>
          <w:u w:val="single"/>
        </w:rPr>
        <w:t>10</w:t>
      </w:r>
      <w:r w:rsidR="00F22FB5">
        <w:rPr>
          <w:sz w:val="26"/>
          <w:szCs w:val="26"/>
          <w:u w:val="single"/>
        </w:rPr>
        <w:t>.</w:t>
      </w:r>
      <w:r w:rsidR="0017118B">
        <w:rPr>
          <w:sz w:val="26"/>
          <w:szCs w:val="26"/>
          <w:u w:val="single"/>
        </w:rPr>
        <w:t>10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 xml:space="preserve"> 201</w:t>
      </w:r>
      <w:r w:rsidR="00F22FB5">
        <w:rPr>
          <w:sz w:val="26"/>
          <w:szCs w:val="26"/>
          <w:u w:val="single"/>
        </w:rPr>
        <w:t>7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Pr="002C01E5" w:rsidRDefault="002C01E5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FB007D" w:rsidRPr="002C01E5" w:rsidRDefault="00806B21">
      <w:pPr>
        <w:rPr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«____» ___________ 20__г.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sectPr w:rsidR="00FB007D" w:rsidRPr="002C01E5" w:rsidSect="002C01E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1473D2"/>
    <w:rsid w:val="00151BE8"/>
    <w:rsid w:val="0017118B"/>
    <w:rsid w:val="001A353B"/>
    <w:rsid w:val="002A22AC"/>
    <w:rsid w:val="002C01E5"/>
    <w:rsid w:val="003057B6"/>
    <w:rsid w:val="0032242E"/>
    <w:rsid w:val="00374A34"/>
    <w:rsid w:val="005015B5"/>
    <w:rsid w:val="006F3E0A"/>
    <w:rsid w:val="00806B21"/>
    <w:rsid w:val="008E6676"/>
    <w:rsid w:val="00954649"/>
    <w:rsid w:val="00955029"/>
    <w:rsid w:val="009C673A"/>
    <w:rsid w:val="00A846C9"/>
    <w:rsid w:val="00AB7A85"/>
    <w:rsid w:val="00B56DE0"/>
    <w:rsid w:val="00C02D7C"/>
    <w:rsid w:val="00E47484"/>
    <w:rsid w:val="00F22FB5"/>
    <w:rsid w:val="00F61AE5"/>
    <w:rsid w:val="00F85C81"/>
    <w:rsid w:val="00FB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D4-D7F3-4B38-9BE3-7EBB265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2017-05-10T06:54:00Z</cp:lastPrinted>
  <dcterms:created xsi:type="dcterms:W3CDTF">2016-04-21T12:08:00Z</dcterms:created>
  <dcterms:modified xsi:type="dcterms:W3CDTF">2017-05-10T06:54:00Z</dcterms:modified>
</cp:coreProperties>
</file>